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309AB215" w14:textId="77777777" w:rsidR="00760CBD" w:rsidRPr="00760CBD" w:rsidRDefault="00760CBD" w:rsidP="00760C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</w:t>
      </w:r>
      <w:r w:rsidRPr="00760CBD">
        <w:rPr>
          <w:rFonts w:ascii="Arial" w:eastAsiaTheme="minorEastAsia" w:hAnsi="Arial" w:cs="Arial"/>
          <w:b/>
          <w:sz w:val="20"/>
          <w:szCs w:val="20"/>
          <w:lang w:eastAsia="pl-PL"/>
        </w:rPr>
        <w:t>Minister Funduszy i Polityki Regionalnej,</w:t>
      </w: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pełniący funkcję Instytucji Zarządzającej Programem Operacyjnym Infrastruktura i Środowisko 2014-2020 (</w:t>
      </w:r>
      <w:proofErr w:type="spellStart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2DF52AED" w14:textId="0475D8AE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>wykonania projekt</w:t>
      </w:r>
      <w:r w:rsidR="00F7487B">
        <w:rPr>
          <w:rFonts w:ascii="Arial" w:eastAsiaTheme="minorEastAsia" w:hAnsi="Arial" w:cs="Arial"/>
          <w:sz w:val="20"/>
          <w:szCs w:val="20"/>
          <w:lang w:eastAsia="pl-PL"/>
        </w:rPr>
        <w:t>u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>/17-00 z dnia 21.12.2018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3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4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</w:t>
      </w: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3D0F107D" w:rsidR="000B3039" w:rsidRPr="00760CBD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="00760CBD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,</w:t>
      </w:r>
    </w:p>
    <w:p w14:paraId="05F85C09" w14:textId="37876B93" w:rsidR="00760CBD" w:rsidRPr="009559B8" w:rsidRDefault="00760CBD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lastRenderedPageBreak/>
        <w:t xml:space="preserve">pod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numerem</w:t>
      </w:r>
      <w:proofErr w:type="spellEnd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 xml:space="preserve">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telefonu</w:t>
      </w:r>
      <w:proofErr w:type="spellEnd"/>
      <w:r w:rsidRPr="00760CBD">
        <w:rPr>
          <w:rFonts w:ascii="Arial" w:eastAsiaTheme="minorEastAsia" w:hAnsi="Arial" w:cs="Arial"/>
          <w:b/>
          <w:i/>
          <w:iCs/>
          <w:sz w:val="20"/>
          <w:szCs w:val="20"/>
          <w:lang w:val="en-US" w:eastAsia="pl-PL"/>
        </w:rPr>
        <w:t>: 22 273 88 12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42F7" w14:textId="77777777" w:rsidR="00C661EA" w:rsidRDefault="00C661EA" w:rsidP="000C498D">
      <w:pPr>
        <w:spacing w:after="0" w:line="240" w:lineRule="auto"/>
      </w:pPr>
      <w:r>
        <w:separator/>
      </w:r>
    </w:p>
  </w:endnote>
  <w:endnote w:type="continuationSeparator" w:id="0">
    <w:p w14:paraId="6150A11C" w14:textId="77777777" w:rsidR="00C661EA" w:rsidRDefault="00C661EA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FF11" w14:textId="77777777" w:rsidR="00C661EA" w:rsidRDefault="00C661EA" w:rsidP="000C498D">
      <w:pPr>
        <w:spacing w:after="0" w:line="240" w:lineRule="auto"/>
      </w:pPr>
      <w:r>
        <w:separator/>
      </w:r>
    </w:p>
  </w:footnote>
  <w:footnote w:type="continuationSeparator" w:id="0">
    <w:p w14:paraId="1992082F" w14:textId="77777777" w:rsidR="00C661EA" w:rsidRDefault="00C661EA" w:rsidP="000C498D">
      <w:pPr>
        <w:spacing w:after="0" w:line="240" w:lineRule="auto"/>
      </w:pPr>
      <w:r>
        <w:continuationSeparator/>
      </w:r>
    </w:p>
  </w:footnote>
  <w:footnote w:id="1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6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7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77777777" w:rsidR="002423D9" w:rsidRDefault="002423D9" w:rsidP="002423D9">
    <w:pPr>
      <w:pStyle w:val="Nagwek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4F4" w14:textId="77777777" w:rsidR="00E551C9" w:rsidRDefault="00C66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3D5EF0"/>
    <w:rsid w:val="00422E12"/>
    <w:rsid w:val="004301BD"/>
    <w:rsid w:val="00443BD7"/>
    <w:rsid w:val="004574DF"/>
    <w:rsid w:val="004E37E8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0CBD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62607"/>
    <w:rsid w:val="00A92C78"/>
    <w:rsid w:val="00AB2AA9"/>
    <w:rsid w:val="00AB584F"/>
    <w:rsid w:val="00AC6B02"/>
    <w:rsid w:val="00B0618A"/>
    <w:rsid w:val="00BC1405"/>
    <w:rsid w:val="00BC1744"/>
    <w:rsid w:val="00C62FF5"/>
    <w:rsid w:val="00C661EA"/>
    <w:rsid w:val="00C75C4D"/>
    <w:rsid w:val="00C77C70"/>
    <w:rsid w:val="00CB4948"/>
    <w:rsid w:val="00CE0380"/>
    <w:rsid w:val="00CF6586"/>
    <w:rsid w:val="00DB5DB4"/>
    <w:rsid w:val="00E035CF"/>
    <w:rsid w:val="00E5638A"/>
    <w:rsid w:val="00E74E55"/>
    <w:rsid w:val="00EF3A95"/>
    <w:rsid w:val="00F00B87"/>
    <w:rsid w:val="00F40D9C"/>
    <w:rsid w:val="00F55826"/>
    <w:rsid w:val="00F64304"/>
    <w:rsid w:val="00F7487B"/>
    <w:rsid w:val="00FA6F6B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3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3874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Dariusz  Jablonski</cp:lastModifiedBy>
  <cp:revision>3</cp:revision>
  <cp:lastPrinted>2018-07-18T07:32:00Z</cp:lastPrinted>
  <dcterms:created xsi:type="dcterms:W3CDTF">2021-12-20T10:29:00Z</dcterms:created>
  <dcterms:modified xsi:type="dcterms:W3CDTF">2022-03-04T11:31:00Z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