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64BDDD07" w:rsidR="00B143EC" w:rsidRPr="00050738" w:rsidRDefault="00CD4E9A" w:rsidP="00E74E02">
      <w:pPr>
        <w:jc w:val="right"/>
        <w:rPr>
          <w:rFonts w:ascii="Arial" w:hAnsi="Arial" w:cs="Arial"/>
          <w:b/>
          <w:sz w:val="20"/>
          <w:szCs w:val="20"/>
        </w:rPr>
      </w:pPr>
      <w:r w:rsidRPr="00050738">
        <w:rPr>
          <w:rFonts w:ascii="Arial" w:hAnsi="Arial" w:cs="Arial"/>
          <w:b/>
          <w:sz w:val="20"/>
          <w:szCs w:val="20"/>
        </w:rPr>
        <w:t xml:space="preserve">Załącznik nr </w:t>
      </w:r>
      <w:r w:rsidR="00953FCC" w:rsidRPr="00050738">
        <w:rPr>
          <w:rFonts w:ascii="Arial" w:hAnsi="Arial" w:cs="Arial"/>
          <w:b/>
          <w:sz w:val="20"/>
          <w:szCs w:val="20"/>
        </w:rPr>
        <w:t>8</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E74E02" w:rsidRDefault="00F72CC8" w:rsidP="00892FFA">
      <w:pPr>
        <w:jc w:val="center"/>
        <w:rPr>
          <w:rFonts w:ascii="Arial" w:hAnsi="Arial" w:cs="Arial"/>
          <w:b/>
          <w:sz w:val="22"/>
          <w:szCs w:val="22"/>
        </w:rPr>
      </w:pPr>
    </w:p>
    <w:p w14:paraId="412E8A92"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3186E259" w14:textId="77777777" w:rsidR="00E74E02" w:rsidRPr="00E74E02" w:rsidRDefault="00E74E02" w:rsidP="00E74E02">
      <w:pPr>
        <w:ind w:firstLine="708"/>
        <w:rPr>
          <w:rFonts w:ascii="Arial" w:hAnsi="Arial" w:cs="Arial"/>
          <w:sz w:val="22"/>
          <w:szCs w:val="22"/>
        </w:rPr>
      </w:pPr>
      <w:r w:rsidRPr="00E74E02">
        <w:rPr>
          <w:rFonts w:ascii="Arial" w:hAnsi="Arial" w:cs="Arial"/>
          <w:sz w:val="22"/>
          <w:szCs w:val="22"/>
        </w:rPr>
        <w:t>(Pieczęć Oferenta / Dostawcy)</w:t>
      </w:r>
    </w:p>
    <w:p w14:paraId="6CBD488D" w14:textId="77777777" w:rsidR="00E74E02" w:rsidRPr="00E74E02" w:rsidRDefault="00E74E02" w:rsidP="00E74E02">
      <w:pPr>
        <w:ind w:firstLine="708"/>
        <w:rPr>
          <w:rFonts w:ascii="Arial" w:hAnsi="Arial" w:cs="Arial"/>
          <w:sz w:val="22"/>
          <w:szCs w:val="22"/>
        </w:rPr>
      </w:pPr>
    </w:p>
    <w:p w14:paraId="349532CC" w14:textId="77777777" w:rsidR="00E74E02" w:rsidRPr="00E74E02" w:rsidRDefault="00E74E02" w:rsidP="00E74E02">
      <w:pPr>
        <w:ind w:firstLine="708"/>
        <w:jc w:val="center"/>
        <w:rPr>
          <w:rFonts w:ascii="Arial" w:hAnsi="Arial" w:cs="Arial"/>
          <w:b/>
          <w:sz w:val="22"/>
          <w:szCs w:val="22"/>
        </w:rPr>
      </w:pPr>
      <w:r w:rsidRPr="00E74E02">
        <w:rPr>
          <w:rFonts w:ascii="Arial" w:hAnsi="Arial" w:cs="Arial"/>
          <w:b/>
          <w:sz w:val="22"/>
          <w:szCs w:val="22"/>
        </w:rPr>
        <w:t xml:space="preserve">OŚWIADCZENIE </w:t>
      </w:r>
    </w:p>
    <w:p w14:paraId="5ACA9366" w14:textId="77777777" w:rsidR="00E74E02" w:rsidRPr="00E74E02" w:rsidRDefault="00E74E02" w:rsidP="00E74E02">
      <w:pPr>
        <w:ind w:firstLine="708"/>
        <w:jc w:val="center"/>
        <w:rPr>
          <w:rFonts w:ascii="Arial" w:hAnsi="Arial" w:cs="Arial"/>
          <w:b/>
          <w:sz w:val="22"/>
          <w:szCs w:val="22"/>
        </w:rPr>
      </w:pPr>
    </w:p>
    <w:p w14:paraId="2885A159" w14:textId="77777777" w:rsidR="00E74E02" w:rsidRPr="00E74E02" w:rsidRDefault="00E74E02" w:rsidP="00E74E02">
      <w:pPr>
        <w:rPr>
          <w:rFonts w:ascii="Arial" w:hAnsi="Arial" w:cs="Arial"/>
          <w:sz w:val="22"/>
          <w:szCs w:val="22"/>
        </w:rPr>
      </w:pPr>
      <w:r w:rsidRPr="00E74E02">
        <w:rPr>
          <w:rFonts w:ascii="Arial" w:hAnsi="Arial" w:cs="Arial"/>
          <w:sz w:val="22"/>
          <w:szCs w:val="22"/>
        </w:rPr>
        <w:t>Ja(My), niżej podpisany(-ni)……………..……………………………………………………………</w:t>
      </w:r>
    </w:p>
    <w:p w14:paraId="298B9F63"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działając w imieniu i na rzecz: </w:t>
      </w:r>
    </w:p>
    <w:p w14:paraId="6C6E5A73"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6090E489"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 xml:space="preserve"> </w:t>
      </w:r>
    </w:p>
    <w:p w14:paraId="319C583A"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55F17798" w14:textId="77777777" w:rsidR="00E74E02" w:rsidRPr="00E74E02" w:rsidRDefault="00E74E02" w:rsidP="00E74E02">
      <w:pPr>
        <w:ind w:left="2124" w:firstLine="708"/>
        <w:rPr>
          <w:rFonts w:ascii="Arial" w:hAnsi="Arial" w:cs="Arial"/>
          <w:sz w:val="22"/>
          <w:szCs w:val="22"/>
        </w:rPr>
      </w:pPr>
      <w:r w:rsidRPr="00E74E02">
        <w:rPr>
          <w:rFonts w:ascii="Arial" w:hAnsi="Arial" w:cs="Arial"/>
          <w:sz w:val="22"/>
          <w:szCs w:val="22"/>
        </w:rPr>
        <w:t>(pełna nazwa Oferenta / Dostawcy)</w:t>
      </w:r>
    </w:p>
    <w:p w14:paraId="0AF643C0" w14:textId="77777777" w:rsidR="00105717" w:rsidRPr="00E74E02" w:rsidRDefault="00105717" w:rsidP="00892FFA">
      <w:pPr>
        <w:jc w:val="center"/>
        <w:rPr>
          <w:rFonts w:ascii="Arial" w:hAnsi="Arial" w:cs="Arial"/>
          <w:b/>
          <w:sz w:val="22"/>
          <w:szCs w:val="22"/>
        </w:rPr>
      </w:pPr>
    </w:p>
    <w:p w14:paraId="41928579" w14:textId="77777777" w:rsidR="00E74E02" w:rsidRPr="00E74E02" w:rsidRDefault="00E74E02" w:rsidP="00E74E02">
      <w:pPr>
        <w:spacing w:after="60"/>
        <w:jc w:val="both"/>
        <w:rPr>
          <w:rFonts w:ascii="Arial" w:hAnsi="Arial" w:cs="Arial"/>
          <w:bCs/>
          <w:iCs/>
          <w:sz w:val="22"/>
          <w:szCs w:val="22"/>
        </w:rPr>
      </w:pPr>
    </w:p>
    <w:p w14:paraId="2B56B9BA" w14:textId="746B81E9" w:rsidR="00E74E02" w:rsidRPr="009C555E" w:rsidRDefault="009C555E" w:rsidP="00E74E02">
      <w:pPr>
        <w:spacing w:after="60"/>
        <w:jc w:val="both"/>
        <w:rPr>
          <w:rFonts w:ascii="Arial" w:hAnsi="Arial" w:cs="Arial"/>
          <w:b/>
          <w:spacing w:val="20"/>
          <w:sz w:val="22"/>
          <w:szCs w:val="22"/>
        </w:rPr>
      </w:pPr>
      <w:r w:rsidRPr="009C555E">
        <w:rPr>
          <w:rFonts w:ascii="Arial" w:hAnsi="Arial" w:cs="Arial"/>
          <w:bCs/>
          <w:iCs/>
          <w:spacing w:val="20"/>
          <w:sz w:val="22"/>
          <w:szCs w:val="22"/>
        </w:rPr>
        <w:t>p</w:t>
      </w:r>
      <w:r w:rsidR="00E74E02" w:rsidRPr="009C555E">
        <w:rPr>
          <w:rFonts w:ascii="Arial" w:hAnsi="Arial" w:cs="Arial"/>
          <w:bCs/>
          <w:iCs/>
          <w:spacing w:val="20"/>
          <w:sz w:val="22"/>
          <w:szCs w:val="22"/>
        </w:rPr>
        <w:t>arafując każdą stronę poniższego regulaminu, akceptujemy jego warunki.</w:t>
      </w:r>
    </w:p>
    <w:p w14:paraId="6CDBF4C8" w14:textId="77777777" w:rsidR="00F72CC8" w:rsidRPr="00E74E02" w:rsidRDefault="00F72CC8" w:rsidP="00892FFA">
      <w:pPr>
        <w:jc w:val="center"/>
        <w:rPr>
          <w:rFonts w:ascii="Arial" w:hAnsi="Arial" w:cs="Arial"/>
          <w:b/>
          <w:sz w:val="22"/>
          <w:szCs w:val="22"/>
        </w:rPr>
      </w:pPr>
    </w:p>
    <w:p w14:paraId="2258C88D" w14:textId="77777777" w:rsidR="00E74E02" w:rsidRPr="00E74E02" w:rsidRDefault="00E74E02" w:rsidP="00E74E02">
      <w:pPr>
        <w:rPr>
          <w:rFonts w:ascii="Arial" w:hAnsi="Arial" w:cs="Arial"/>
          <w:sz w:val="22"/>
          <w:szCs w:val="22"/>
        </w:rPr>
      </w:pPr>
    </w:p>
    <w:p w14:paraId="43129905"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 dn. …………………    </w:t>
      </w:r>
    </w:p>
    <w:p w14:paraId="3B853FD1" w14:textId="3FCB2B5F" w:rsidR="00E74E02" w:rsidRDefault="00E74E02" w:rsidP="00E74E02">
      <w:pPr>
        <w:rPr>
          <w:rFonts w:ascii="Arial" w:hAnsi="Arial" w:cs="Arial"/>
          <w:sz w:val="22"/>
          <w:szCs w:val="22"/>
        </w:rPr>
      </w:pPr>
    </w:p>
    <w:p w14:paraId="704BB14D" w14:textId="5B63C4EC" w:rsidR="00E74E02" w:rsidRDefault="00E74E02" w:rsidP="00E74E02">
      <w:pPr>
        <w:rPr>
          <w:rFonts w:ascii="Arial" w:hAnsi="Arial" w:cs="Arial"/>
          <w:sz w:val="22"/>
          <w:szCs w:val="22"/>
        </w:rPr>
      </w:pPr>
    </w:p>
    <w:p w14:paraId="1D86868D" w14:textId="77777777" w:rsidR="009C555E" w:rsidRPr="00E74E02" w:rsidRDefault="009C555E" w:rsidP="00E74E02">
      <w:pPr>
        <w:rPr>
          <w:rFonts w:ascii="Arial" w:hAnsi="Arial" w:cs="Arial"/>
          <w:sz w:val="22"/>
          <w:szCs w:val="22"/>
        </w:rPr>
      </w:pPr>
    </w:p>
    <w:p w14:paraId="01EDF717"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212CEFBF" w14:textId="77777777" w:rsidR="00E74E02" w:rsidRPr="00E74E02" w:rsidRDefault="00E74E02" w:rsidP="00E74E02">
      <w:pPr>
        <w:rPr>
          <w:rFonts w:ascii="Arial" w:hAnsi="Arial" w:cs="Arial"/>
          <w:sz w:val="22"/>
          <w:szCs w:val="22"/>
        </w:rPr>
      </w:pPr>
      <w:r w:rsidRPr="00E74E02">
        <w:rPr>
          <w:rFonts w:ascii="Arial" w:hAnsi="Arial" w:cs="Arial"/>
          <w:sz w:val="22"/>
          <w:szCs w:val="22"/>
        </w:rPr>
        <w:t>podpis(-y) osoby (osób) uprawnionej(-</w:t>
      </w:r>
      <w:proofErr w:type="spellStart"/>
      <w:r w:rsidRPr="00E74E02">
        <w:rPr>
          <w:rFonts w:ascii="Arial" w:hAnsi="Arial" w:cs="Arial"/>
          <w:sz w:val="22"/>
          <w:szCs w:val="22"/>
        </w:rPr>
        <w:t>nych</w:t>
      </w:r>
      <w:proofErr w:type="spellEnd"/>
      <w:r w:rsidRPr="00E74E02">
        <w:rPr>
          <w:rFonts w:ascii="Arial" w:hAnsi="Arial" w:cs="Arial"/>
          <w:sz w:val="22"/>
          <w:szCs w:val="22"/>
        </w:rPr>
        <w:t>) do reprezentacji Oferenta / Dostawcy</w:t>
      </w:r>
    </w:p>
    <w:p w14:paraId="081BF2D5" w14:textId="77777777" w:rsidR="00E74E02" w:rsidRDefault="00E74E02" w:rsidP="00E74E02">
      <w:pPr>
        <w:autoSpaceDE w:val="0"/>
        <w:autoSpaceDN w:val="0"/>
        <w:adjustRightInd w:val="0"/>
        <w:spacing w:after="60"/>
        <w:ind w:left="360"/>
        <w:jc w:val="both"/>
        <w:rPr>
          <w:rFonts w:ascii="Arial" w:hAnsi="Arial" w:cs="Arial"/>
          <w:sz w:val="20"/>
          <w:szCs w:val="20"/>
        </w:rPr>
      </w:pPr>
    </w:p>
    <w:p w14:paraId="333F8B07" w14:textId="77777777" w:rsidR="00E74E02" w:rsidRPr="00945E91" w:rsidRDefault="00E74E02" w:rsidP="00E74E02">
      <w:pPr>
        <w:autoSpaceDE w:val="0"/>
        <w:autoSpaceDN w:val="0"/>
        <w:adjustRightInd w:val="0"/>
        <w:spacing w:after="60"/>
        <w:ind w:left="360"/>
        <w:jc w:val="both"/>
        <w:rPr>
          <w:rFonts w:ascii="Arial" w:hAnsi="Arial" w:cs="Arial"/>
          <w:sz w:val="20"/>
          <w:szCs w:val="20"/>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630528BD" w14:textId="77777777" w:rsidR="00AA66D8" w:rsidRPr="00833F7A" w:rsidRDefault="00AA66D8" w:rsidP="004E7EB0">
      <w:pPr>
        <w:jc w:val="center"/>
        <w:rPr>
          <w:rFonts w:ascii="Arial" w:hAnsi="Arial" w:cs="Arial"/>
          <w:b/>
          <w:sz w:val="22"/>
          <w:szCs w:val="22"/>
        </w:rPr>
      </w:pPr>
    </w:p>
    <w:p w14:paraId="7BEF1BA2" w14:textId="3D7B2311" w:rsidR="00BC2ACF" w:rsidRPr="00401D93" w:rsidRDefault="00433267" w:rsidP="00401D93">
      <w:pPr>
        <w:autoSpaceDE w:val="0"/>
        <w:autoSpaceDN w:val="0"/>
        <w:adjustRightInd w:val="0"/>
        <w:jc w:val="center"/>
        <w:rPr>
          <w:rFonts w:ascii="Arial" w:hAnsi="Arial" w:cs="Arial"/>
          <w:b/>
          <w:sz w:val="20"/>
        </w:rPr>
      </w:pPr>
      <w:r>
        <w:rPr>
          <w:rFonts w:ascii="Arial" w:hAnsi="Arial" w:cs="Arial"/>
          <w:b/>
        </w:rPr>
        <w:t>„</w:t>
      </w:r>
      <w:r w:rsidR="00B56F94">
        <w:rPr>
          <w:rFonts w:ascii="Arial" w:hAnsi="Arial" w:cs="Arial"/>
          <w:b/>
        </w:rPr>
        <w:t>D</w:t>
      </w:r>
      <w:r w:rsidR="00B56F94" w:rsidRPr="002068CC">
        <w:rPr>
          <w:rFonts w:ascii="Arial" w:hAnsi="Arial" w:cs="Arial"/>
          <w:b/>
        </w:rPr>
        <w:t>ostaw</w:t>
      </w:r>
      <w:r w:rsidR="00B56F94">
        <w:rPr>
          <w:rFonts w:ascii="Arial" w:hAnsi="Arial" w:cs="Arial"/>
          <w:b/>
        </w:rPr>
        <w:t>a</w:t>
      </w:r>
      <w:r w:rsidR="00B56F94" w:rsidRPr="002068CC">
        <w:rPr>
          <w:rFonts w:ascii="Arial" w:hAnsi="Arial" w:cs="Arial"/>
          <w:b/>
        </w:rPr>
        <w:t xml:space="preserve"> lokomotyw elektrycznych wraz ze świadczeniem przez Oferenta usług serwisu </w:t>
      </w:r>
      <w:r w:rsidR="00B56F94">
        <w:rPr>
          <w:rFonts w:ascii="Arial" w:hAnsi="Arial" w:cs="Arial"/>
          <w:b/>
        </w:rPr>
        <w:br/>
      </w:r>
      <w:r w:rsidR="00B56F94" w:rsidRPr="002068CC">
        <w:rPr>
          <w:rFonts w:ascii="Arial" w:hAnsi="Arial" w:cs="Arial"/>
          <w:b/>
        </w:rPr>
        <w:t xml:space="preserve">w zakresie pełnego utrzymania w okresie gwarancji </w:t>
      </w:r>
      <w:r w:rsidR="00B56F94">
        <w:rPr>
          <w:rFonts w:ascii="Arial" w:hAnsi="Arial" w:cs="Arial"/>
          <w:b/>
        </w:rPr>
        <w:br/>
      </w:r>
      <w:r w:rsidR="00B56F94" w:rsidRPr="002068CC">
        <w:rPr>
          <w:rFonts w:ascii="Arial" w:hAnsi="Arial" w:cs="Arial"/>
          <w:b/>
        </w:rPr>
        <w:t>oraz po gwarancji aż do pierwszej naprawy P4</w:t>
      </w:r>
      <w:r>
        <w:rPr>
          <w:rFonts w:ascii="Arial" w:hAnsi="Arial" w:cs="Arial"/>
          <w:b/>
        </w:rPr>
        <w:t>”</w:t>
      </w:r>
      <w:r w:rsidRPr="00346F90" w:rsidDel="00081EDF">
        <w:rPr>
          <w:rFonts w:ascii="Arial" w:hAnsi="Arial" w:cs="Arial"/>
          <w:b/>
          <w:bCs/>
          <w:color w:val="000000"/>
        </w:rPr>
        <w:t xml:space="preserve"> </w:t>
      </w:r>
      <w:r w:rsidR="00346F90">
        <w:rPr>
          <w:rStyle w:val="Pogrubienie"/>
          <w:rFonts w:ascii="Arial" w:hAnsi="Arial" w:cs="Arial"/>
        </w:rPr>
        <w:br/>
      </w:r>
    </w:p>
    <w:p w14:paraId="0195F716" w14:textId="45113280" w:rsidR="004E7EB0" w:rsidRPr="00833F7A" w:rsidRDefault="004E7EB0" w:rsidP="004E7EB0">
      <w:pPr>
        <w:spacing w:after="60"/>
        <w:jc w:val="both"/>
        <w:rPr>
          <w:rFonts w:ascii="Arial" w:hAnsi="Arial" w:cs="Arial"/>
          <w:b/>
          <w:bCs/>
          <w:sz w:val="20"/>
          <w:szCs w:val="20"/>
          <w:u w:val="single"/>
        </w:rPr>
      </w:pPr>
      <w:r w:rsidRPr="00833F7A">
        <w:rPr>
          <w:rFonts w:ascii="Arial" w:hAnsi="Arial" w:cs="Arial"/>
          <w:b/>
          <w:bCs/>
          <w:sz w:val="20"/>
          <w:szCs w:val="20"/>
          <w:u w:val="single"/>
        </w:rPr>
        <w:t>Definicje:</w:t>
      </w:r>
    </w:p>
    <w:p w14:paraId="7134B752" w14:textId="1730DD3A"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07B9B86"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lastRenderedPageBreak/>
        <w:t xml:space="preserve">Postepowanie przetargowe </w:t>
      </w:r>
      <w:r>
        <w:rPr>
          <w:rFonts w:ascii="Arial" w:hAnsi="Arial" w:cs="Arial"/>
          <w:sz w:val="20"/>
          <w:szCs w:val="20"/>
        </w:rPr>
        <w:t xml:space="preserve">– postępowanie prowadzone na podstawie SPP, w tym </w:t>
      </w:r>
      <w:r w:rsidR="006741CE">
        <w:rPr>
          <w:rFonts w:ascii="Arial" w:hAnsi="Arial" w:cs="Arial"/>
          <w:sz w:val="20"/>
          <w:szCs w:val="20"/>
        </w:rPr>
        <w:t>może obejmować aukcję internetową prowadzoną na podstawie niniejszego regulaminu;</w:t>
      </w:r>
    </w:p>
    <w:p w14:paraId="162AE458" w14:textId="13932137"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SPP </w:t>
      </w:r>
      <w:r>
        <w:rPr>
          <w:rFonts w:ascii="Arial" w:hAnsi="Arial" w:cs="Arial"/>
          <w:sz w:val="20"/>
          <w:szCs w:val="20"/>
        </w:rPr>
        <w:t>– Specyfikacja Przedmiotu Przetargu</w:t>
      </w:r>
      <w:r w:rsidRPr="00317D26">
        <w:rPr>
          <w:rFonts w:ascii="Arial" w:hAnsi="Arial" w:cs="Arial"/>
          <w:sz w:val="20"/>
          <w:szCs w:val="20"/>
        </w:rPr>
        <w:t xml:space="preserve"> </w:t>
      </w:r>
      <w:r w:rsidR="00317D26">
        <w:rPr>
          <w:rFonts w:ascii="Arial" w:hAnsi="Arial" w:cs="Arial"/>
          <w:sz w:val="20"/>
          <w:szCs w:val="20"/>
        </w:rPr>
        <w:t>na d</w:t>
      </w:r>
      <w:r w:rsidR="00317D26" w:rsidRPr="005A7646">
        <w:rPr>
          <w:rFonts w:ascii="Arial" w:hAnsi="Arial" w:cs="Arial"/>
          <w:sz w:val="20"/>
          <w:szCs w:val="20"/>
        </w:rPr>
        <w:t>ostaw</w:t>
      </w:r>
      <w:r w:rsidR="00317D26">
        <w:rPr>
          <w:rFonts w:ascii="Arial" w:hAnsi="Arial" w:cs="Arial"/>
          <w:sz w:val="20"/>
          <w:szCs w:val="20"/>
        </w:rPr>
        <w:t>ę</w:t>
      </w:r>
      <w:r w:rsidR="00317D26" w:rsidRPr="005A7646">
        <w:rPr>
          <w:rFonts w:ascii="Arial" w:hAnsi="Arial" w:cs="Arial"/>
          <w:sz w:val="20"/>
          <w:szCs w:val="20"/>
        </w:rPr>
        <w:t xml:space="preserve"> lokomotyw elektrycznych wraz ze świadczeniem przez oferenta usług serwisu w okresie gwarancji oraz po gwarancji aż do pierwszej naprawy P4</w:t>
      </w:r>
      <w:r w:rsidR="00317D26">
        <w:rPr>
          <w:rFonts w:ascii="Arial" w:hAnsi="Arial" w:cs="Arial"/>
          <w:sz w:val="20"/>
          <w:szCs w:val="20"/>
        </w:rPr>
        <w:t xml:space="preserve">, </w:t>
      </w:r>
      <w:r>
        <w:rPr>
          <w:rFonts w:ascii="Arial" w:hAnsi="Arial" w:cs="Arial"/>
          <w:sz w:val="20"/>
          <w:szCs w:val="20"/>
        </w:rPr>
        <w:t xml:space="preserve">wraz z załącznikami.  </w:t>
      </w:r>
    </w:p>
    <w:p w14:paraId="02C5293A" w14:textId="7BA5479A"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0EB8D350">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E6DF594"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SPP.</w:t>
      </w:r>
    </w:p>
    <w:p w14:paraId="504F4F39" w14:textId="2B72E3E4"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4ECFC581"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w:t>
      </w:r>
      <w:r w:rsidR="00914E95">
        <w:rPr>
          <w:rFonts w:ascii="Arial" w:hAnsi="Arial" w:cs="Arial"/>
          <w:sz w:val="20"/>
          <w:szCs w:val="20"/>
        </w:rPr>
        <w:t>ń</w:t>
      </w:r>
      <w:r w:rsidR="004F2371">
        <w:rPr>
          <w:rFonts w:ascii="Arial" w:hAnsi="Arial" w:cs="Arial"/>
          <w:sz w:val="20"/>
          <w:szCs w:val="20"/>
        </w:rPr>
        <w:t>:</w:t>
      </w:r>
      <w:r w:rsidR="0031075D" w:rsidRPr="00833F7A">
        <w:rPr>
          <w:rFonts w:ascii="Arial" w:hAnsi="Arial" w:cs="Arial"/>
          <w:sz w:val="20"/>
          <w:szCs w:val="20"/>
        </w:rPr>
        <w:t xml:space="preserve"> </w:t>
      </w:r>
    </w:p>
    <w:p w14:paraId="5CFC6533" w14:textId="77777777" w:rsidR="007510AE" w:rsidRPr="00914E95" w:rsidRDefault="007510AE" w:rsidP="007510AE">
      <w:pPr>
        <w:pStyle w:val="Akapitzlist"/>
        <w:numPr>
          <w:ilvl w:val="0"/>
          <w:numId w:val="18"/>
        </w:numPr>
        <w:autoSpaceDE w:val="0"/>
        <w:autoSpaceDN w:val="0"/>
        <w:adjustRightInd w:val="0"/>
        <w:jc w:val="both"/>
        <w:rPr>
          <w:rFonts w:ascii="Arial" w:hAnsi="Arial" w:cs="Arial"/>
          <w:b/>
        </w:rPr>
      </w:pPr>
      <w:r w:rsidRPr="00914E95">
        <w:rPr>
          <w:rFonts w:ascii="Arial" w:hAnsi="Arial" w:cs="Arial"/>
          <w:b/>
        </w:rPr>
        <w:t>„Dostawa lokomotyw elektrycznych wraz ze świadczeniem przez Oferenta usług serwisu w zakresie pełnego utrzymania w okresie gwarancji oraz po gwarancji aż do pierwszej naprawy P4</w:t>
      </w:r>
      <w:r w:rsidRPr="00914E95">
        <w:rPr>
          <w:rFonts w:ascii="Arial" w:hAnsi="Arial" w:cs="Arial"/>
          <w:b/>
          <w:sz w:val="20"/>
          <w:szCs w:val="20"/>
        </w:rPr>
        <w:t>”</w:t>
      </w:r>
      <w:r w:rsidRPr="00914E95">
        <w:rPr>
          <w:rFonts w:ascii="Arial" w:hAnsi="Arial" w:cs="Arial"/>
          <w:b/>
        </w:rPr>
        <w:t xml:space="preserve"> </w:t>
      </w:r>
      <w:r>
        <w:rPr>
          <w:rFonts w:ascii="Arial" w:hAnsi="Arial" w:cs="Arial"/>
          <w:b/>
        </w:rPr>
        <w:t>– ZADANIE 1</w:t>
      </w:r>
    </w:p>
    <w:p w14:paraId="59C346BE" w14:textId="77777777" w:rsidR="007510AE" w:rsidRPr="00914E95" w:rsidRDefault="007510AE" w:rsidP="007510AE">
      <w:pPr>
        <w:pStyle w:val="Akapitzlist"/>
        <w:numPr>
          <w:ilvl w:val="0"/>
          <w:numId w:val="18"/>
        </w:numPr>
        <w:autoSpaceDE w:val="0"/>
        <w:autoSpaceDN w:val="0"/>
        <w:adjustRightInd w:val="0"/>
        <w:jc w:val="both"/>
        <w:rPr>
          <w:rStyle w:val="Pogrubienie"/>
          <w:rFonts w:ascii="Arial" w:hAnsi="Arial" w:cs="Arial"/>
          <w:b w:val="0"/>
          <w:bCs w:val="0"/>
          <w:color w:val="000000"/>
        </w:rPr>
      </w:pPr>
      <w:r w:rsidRPr="00914E95">
        <w:rPr>
          <w:rFonts w:ascii="Arial" w:hAnsi="Arial" w:cs="Arial"/>
          <w:b/>
        </w:rPr>
        <w:t>„Dostawa lokomotyw elektrycznych wraz ze świadczeniem przez Oferenta usług serwisu w zakresie pełnego utrzymania w okresie gwarancji oraz po gwarancji aż do pierwszej naprawy P4</w:t>
      </w:r>
      <w:r w:rsidRPr="00914E95">
        <w:rPr>
          <w:rFonts w:ascii="Arial" w:hAnsi="Arial" w:cs="Arial"/>
          <w:b/>
          <w:sz w:val="20"/>
          <w:szCs w:val="20"/>
        </w:rPr>
        <w:t>”</w:t>
      </w:r>
      <w:r w:rsidRPr="00914E95">
        <w:rPr>
          <w:rFonts w:ascii="Arial" w:hAnsi="Arial" w:cs="Arial"/>
          <w:b/>
        </w:rPr>
        <w:t xml:space="preserve"> </w:t>
      </w:r>
      <w:r>
        <w:rPr>
          <w:rFonts w:ascii="Arial" w:hAnsi="Arial" w:cs="Arial"/>
          <w:b/>
        </w:rPr>
        <w:t>– ZADANIE 2</w:t>
      </w:r>
    </w:p>
    <w:p w14:paraId="2D6D8BA1" w14:textId="77777777" w:rsidR="00914E95" w:rsidRDefault="00914E95" w:rsidP="00235F24">
      <w:pPr>
        <w:autoSpaceDE w:val="0"/>
        <w:autoSpaceDN w:val="0"/>
        <w:adjustRightInd w:val="0"/>
        <w:ind w:left="567"/>
        <w:jc w:val="both"/>
        <w:rPr>
          <w:rStyle w:val="Pogrubienie"/>
          <w:rFonts w:ascii="Arial" w:hAnsi="Arial" w:cs="Arial"/>
          <w:b w:val="0"/>
          <w:bCs w:val="0"/>
          <w:color w:val="000000"/>
        </w:rPr>
      </w:pP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2AB191DE" w:rsidR="004E7EB0"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35C33E" w14:textId="77777777" w:rsidR="007510AE" w:rsidRPr="00833F7A" w:rsidRDefault="007510AE" w:rsidP="007510AE">
      <w:pPr>
        <w:pStyle w:val="Punkt"/>
        <w:tabs>
          <w:tab w:val="clear" w:pos="709"/>
        </w:tabs>
        <w:spacing w:after="60" w:line="240" w:lineRule="auto"/>
        <w:ind w:left="360" w:firstLine="0"/>
        <w:rPr>
          <w:rFonts w:eastAsia="Arial Unicode MS" w:cs="Arial"/>
          <w:sz w:val="20"/>
        </w:rPr>
      </w:pPr>
      <w:bookmarkStart w:id="0" w:name="_GoBack"/>
      <w:bookmarkEnd w:id="0"/>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lastRenderedPageBreak/>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07586F82"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decyzji o unieważnieniu lub odstąpieniu od Aukcji</w:t>
      </w:r>
      <w:r w:rsidR="0070193E">
        <w:rPr>
          <w:rFonts w:ascii="Arial" w:hAnsi="Arial" w:cs="Arial"/>
          <w:sz w:val="20"/>
          <w:szCs w:val="20"/>
        </w:rPr>
        <w:t>,</w:t>
      </w:r>
      <w:r w:rsidRPr="00833F7A">
        <w:rPr>
          <w:rFonts w:ascii="Arial" w:hAnsi="Arial" w:cs="Arial"/>
          <w:sz w:val="20"/>
          <w:szCs w:val="20"/>
        </w:rPr>
        <w:t xml:space="preserve">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19D7359"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1"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1"/>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2" w:name="_Ref112232476"/>
    </w:p>
    <w:bookmarkEnd w:id="2"/>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5700CC7E"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t>
      </w:r>
      <w:r w:rsidR="00235F24">
        <w:rPr>
          <w:rFonts w:ascii="Arial" w:hAnsi="Arial" w:cs="Arial"/>
          <w:b/>
          <w:sz w:val="20"/>
          <w:szCs w:val="20"/>
        </w:rPr>
        <w:t>dla</w:t>
      </w:r>
      <w:r w:rsidR="00CB3585">
        <w:rPr>
          <w:rFonts w:ascii="Arial" w:hAnsi="Arial" w:cs="Arial"/>
          <w:b/>
          <w:sz w:val="20"/>
          <w:szCs w:val="20"/>
        </w:rPr>
        <w:t xml:space="preserve"> </w:t>
      </w:r>
      <w:r w:rsidR="00914E95">
        <w:rPr>
          <w:rFonts w:ascii="Arial" w:hAnsi="Arial" w:cs="Arial"/>
          <w:b/>
          <w:sz w:val="20"/>
          <w:szCs w:val="20"/>
        </w:rPr>
        <w:t>realizacji Zadania 1 i dla Zadania 2</w:t>
      </w:r>
      <w:r w:rsidR="00235F24">
        <w:rPr>
          <w:rFonts w:ascii="Arial" w:hAnsi="Arial" w:cs="Arial"/>
          <w:b/>
          <w:sz w:val="20"/>
          <w:szCs w:val="20"/>
        </w:rPr>
        <w:t xml:space="preserve">, o których mowa </w:t>
      </w:r>
      <w:r w:rsidR="00CB3585">
        <w:rPr>
          <w:rFonts w:ascii="Arial" w:hAnsi="Arial" w:cs="Arial"/>
          <w:b/>
          <w:sz w:val="20"/>
          <w:szCs w:val="20"/>
        </w:rPr>
        <w:t>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r w:rsidR="00CB3585">
        <w:rPr>
          <w:rFonts w:ascii="Arial" w:hAnsi="Arial" w:cs="Arial"/>
          <w:b/>
          <w:sz w:val="20"/>
          <w:szCs w:val="20"/>
        </w:rPr>
        <w:t>Każd</w:t>
      </w:r>
      <w:r w:rsidR="00914E95">
        <w:rPr>
          <w:rFonts w:ascii="Arial" w:hAnsi="Arial" w:cs="Arial"/>
          <w:b/>
          <w:sz w:val="20"/>
          <w:szCs w:val="20"/>
        </w:rPr>
        <w:t xml:space="preserve">e z Zadań </w:t>
      </w:r>
      <w:r w:rsidR="00CB3585">
        <w:rPr>
          <w:rFonts w:ascii="Arial" w:hAnsi="Arial" w:cs="Arial"/>
          <w:b/>
          <w:sz w:val="20"/>
          <w:szCs w:val="20"/>
        </w:rPr>
        <w:t xml:space="preserve">będzie przedmiotem odrębnej Aukcji.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3" w:name="_Ref118005126"/>
      <w:bookmarkStart w:id="4" w:name="_Hlk1851278"/>
      <w:r>
        <w:rPr>
          <w:rFonts w:cs="Arial"/>
          <w:sz w:val="20"/>
          <w:szCs w:val="20"/>
        </w:rPr>
        <w:t xml:space="preserve">§7. </w:t>
      </w:r>
      <w:r w:rsidR="004E7EB0" w:rsidRPr="00833F7A">
        <w:rPr>
          <w:rFonts w:cs="Arial"/>
          <w:sz w:val="20"/>
          <w:szCs w:val="20"/>
        </w:rPr>
        <w:t xml:space="preserve">Czas trwania </w:t>
      </w:r>
      <w:bookmarkEnd w:id="3"/>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8767CA2"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w:t>
      </w:r>
      <w:r w:rsidRPr="005A7646">
        <w:rPr>
          <w:rFonts w:ascii="Arial" w:hAnsi="Arial" w:cs="Arial"/>
          <w:sz w:val="20"/>
          <w:szCs w:val="20"/>
        </w:rPr>
        <w:t xml:space="preserve">to </w:t>
      </w:r>
      <w:r w:rsidR="00235F24" w:rsidRPr="005A7646">
        <w:rPr>
          <w:rFonts w:ascii="Arial" w:hAnsi="Arial" w:cs="Arial"/>
          <w:b/>
          <w:sz w:val="20"/>
          <w:szCs w:val="20"/>
        </w:rPr>
        <w:t>45</w:t>
      </w:r>
      <w:r w:rsidRPr="005A7646">
        <w:rPr>
          <w:rFonts w:ascii="Arial" w:hAnsi="Arial" w:cs="Arial"/>
          <w:b/>
          <w:sz w:val="20"/>
          <w:szCs w:val="20"/>
        </w:rPr>
        <w:t xml:space="preserve"> minut</w:t>
      </w:r>
      <w:r w:rsidRPr="005A7646">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0D5F5031" w:rsidR="004A5204" w:rsidRPr="009D5C58" w:rsidRDefault="009D5C58" w:rsidP="00900915">
      <w:pPr>
        <w:numPr>
          <w:ilvl w:val="0"/>
          <w:numId w:val="4"/>
        </w:numPr>
        <w:shd w:val="clear" w:color="auto" w:fill="FFFFFF"/>
        <w:spacing w:after="60"/>
        <w:ind w:left="357" w:hanging="357"/>
        <w:jc w:val="both"/>
        <w:rPr>
          <w:rFonts w:ascii="Arial" w:hAnsi="Arial" w:cs="Arial"/>
          <w:color w:val="0000FF"/>
          <w:sz w:val="20"/>
          <w:szCs w:val="20"/>
        </w:rPr>
      </w:pPr>
      <w:r w:rsidRPr="009D5C58">
        <w:rPr>
          <w:rFonts w:ascii="Arial" w:hAnsi="Arial" w:cs="Arial"/>
          <w:color w:val="0000FF"/>
          <w:sz w:val="20"/>
          <w:szCs w:val="20"/>
        </w:rPr>
        <w:t>Dogrywka będzie miała miejsce, jeśli w ciągu ostatnich 2 minut trwania Aukcji zostanie złożona nowa Oferta. W takim przypadku licznik określający Czas Trwania Aukcji zmieni swoją wartość na 2 minuty, podczas gdy licznik sekund pozostanie bez zmian.</w:t>
      </w:r>
    </w:p>
    <w:p w14:paraId="30F7C409" w14:textId="77777777" w:rsidR="00A34BFD" w:rsidRPr="00AE1DD2" w:rsidRDefault="00A34BFD" w:rsidP="00A34BFD">
      <w:pPr>
        <w:shd w:val="clear" w:color="auto" w:fill="FFFFFF"/>
        <w:spacing w:after="60"/>
        <w:ind w:left="357"/>
        <w:jc w:val="both"/>
        <w:rPr>
          <w:rFonts w:ascii="Arial" w:hAnsi="Arial" w:cs="Arial"/>
          <w:sz w:val="20"/>
          <w:szCs w:val="20"/>
        </w:rPr>
      </w:pP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4"/>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5"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5"/>
    </w:p>
    <w:p w14:paraId="194463E7" w14:textId="01A7CF7F" w:rsidR="00415A79" w:rsidRPr="00415A79"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t>
      </w:r>
      <w:r w:rsidR="00415A79">
        <w:rPr>
          <w:rStyle w:val="Pogrubienie"/>
          <w:rFonts w:ascii="Arial" w:hAnsi="Arial" w:cs="Arial"/>
          <w:b w:val="0"/>
          <w:bCs w:val="0"/>
          <w:sz w:val="20"/>
          <w:szCs w:val="20"/>
        </w:rPr>
        <w:t xml:space="preserve">dla obu aukcji (dla obu </w:t>
      </w:r>
      <w:r w:rsidR="00914E95">
        <w:rPr>
          <w:rStyle w:val="Pogrubienie"/>
          <w:rFonts w:ascii="Arial" w:hAnsi="Arial" w:cs="Arial"/>
          <w:b w:val="0"/>
          <w:bCs w:val="0"/>
          <w:sz w:val="20"/>
          <w:szCs w:val="20"/>
        </w:rPr>
        <w:t>Zadań</w:t>
      </w:r>
      <w:r w:rsidR="00415A79">
        <w:rPr>
          <w:rStyle w:val="Pogrubienie"/>
          <w:rFonts w:ascii="Arial" w:hAnsi="Arial" w:cs="Arial"/>
          <w:b w:val="0"/>
          <w:bCs w:val="0"/>
          <w:sz w:val="20"/>
          <w:szCs w:val="20"/>
        </w:rPr>
        <w:t xml:space="preserve">)  </w:t>
      </w:r>
      <w:r w:rsidR="00376FFC" w:rsidRPr="00500757">
        <w:rPr>
          <w:rStyle w:val="Pogrubienie"/>
          <w:rFonts w:ascii="Arial" w:hAnsi="Arial" w:cs="Arial"/>
          <w:b w:val="0"/>
          <w:bCs w:val="0"/>
          <w:sz w:val="20"/>
          <w:szCs w:val="20"/>
        </w:rPr>
        <w:t>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2386CB77" w14:textId="43D6C3F2" w:rsidR="00235F24" w:rsidRDefault="00235F24" w:rsidP="00415A79">
      <w:pPr>
        <w:shd w:val="clear" w:color="auto" w:fill="FFFFFF"/>
        <w:spacing w:after="60" w:line="274" w:lineRule="exact"/>
        <w:ind w:left="360"/>
        <w:jc w:val="both"/>
        <w:rPr>
          <w:rStyle w:val="Pogrubienie"/>
          <w:rFonts w:ascii="Arial" w:hAnsi="Arial" w:cs="Arial"/>
          <w:bCs w:val="0"/>
          <w:sz w:val="20"/>
          <w:szCs w:val="20"/>
        </w:rPr>
      </w:pPr>
      <w:r w:rsidRPr="00235F24">
        <w:rPr>
          <w:rStyle w:val="Pogrubienie"/>
          <w:rFonts w:ascii="Arial" w:hAnsi="Arial" w:cs="Arial"/>
          <w:bCs w:val="0"/>
          <w:sz w:val="20"/>
          <w:szCs w:val="20"/>
        </w:rPr>
        <w:t>1000</w:t>
      </w:r>
      <w:r w:rsidR="004A5B4E" w:rsidRPr="00235F24">
        <w:rPr>
          <w:rStyle w:val="Pogrubienie"/>
          <w:rFonts w:ascii="Arial" w:hAnsi="Arial" w:cs="Arial"/>
          <w:bCs w:val="0"/>
          <w:sz w:val="20"/>
          <w:szCs w:val="20"/>
        </w:rPr>
        <w:t xml:space="preserve"> </w:t>
      </w:r>
      <w:r w:rsidR="00C35E52" w:rsidRPr="00235F24">
        <w:rPr>
          <w:rStyle w:val="Pogrubienie"/>
          <w:rFonts w:ascii="Arial" w:hAnsi="Arial" w:cs="Arial"/>
          <w:bCs w:val="0"/>
          <w:sz w:val="20"/>
          <w:szCs w:val="20"/>
        </w:rPr>
        <w:t>EUR</w:t>
      </w:r>
      <w:r>
        <w:rPr>
          <w:rStyle w:val="Pogrubienie"/>
          <w:rFonts w:ascii="Arial" w:hAnsi="Arial" w:cs="Arial"/>
          <w:bCs w:val="0"/>
          <w:sz w:val="20"/>
          <w:szCs w:val="20"/>
        </w:rPr>
        <w:t xml:space="preserve"> -</w:t>
      </w:r>
      <w:r w:rsidR="004A59F0" w:rsidRPr="00235F24">
        <w:rPr>
          <w:rStyle w:val="Pogrubienie"/>
          <w:rFonts w:ascii="Arial" w:hAnsi="Arial" w:cs="Arial"/>
          <w:bCs w:val="0"/>
          <w:sz w:val="20"/>
          <w:szCs w:val="20"/>
        </w:rPr>
        <w:t xml:space="preserve"> dla pozycji </w:t>
      </w:r>
      <w:r w:rsidRPr="00235F24">
        <w:rPr>
          <w:rStyle w:val="Pogrubienie"/>
          <w:rFonts w:ascii="Arial" w:hAnsi="Arial" w:cs="Arial"/>
          <w:bCs w:val="0"/>
          <w:sz w:val="20"/>
          <w:szCs w:val="20"/>
        </w:rPr>
        <w:t>Cena 1 szt. lokomotywy</w:t>
      </w:r>
      <w:r w:rsidR="004A59F0" w:rsidRPr="00235F24">
        <w:rPr>
          <w:rStyle w:val="Pogrubienie"/>
          <w:rFonts w:ascii="Arial" w:hAnsi="Arial" w:cs="Arial"/>
          <w:bCs w:val="0"/>
          <w:sz w:val="20"/>
          <w:szCs w:val="20"/>
        </w:rPr>
        <w:t xml:space="preserve"> (C</w:t>
      </w:r>
      <w:r w:rsidRPr="00235F24">
        <w:rPr>
          <w:rStyle w:val="Pogrubienie"/>
          <w:rFonts w:ascii="Arial" w:hAnsi="Arial" w:cs="Arial"/>
          <w:bCs w:val="0"/>
          <w:sz w:val="20"/>
          <w:szCs w:val="20"/>
        </w:rPr>
        <w:t>l</w:t>
      </w:r>
      <w:r w:rsidR="004A59F0" w:rsidRPr="00235F24">
        <w:rPr>
          <w:rStyle w:val="Pogrubienie"/>
          <w:rFonts w:ascii="Arial" w:hAnsi="Arial" w:cs="Arial"/>
          <w:bCs w:val="0"/>
          <w:sz w:val="20"/>
          <w:szCs w:val="20"/>
        </w:rPr>
        <w:t xml:space="preserve">); </w:t>
      </w:r>
    </w:p>
    <w:p w14:paraId="166C6734" w14:textId="7C387515" w:rsidR="00451BEE" w:rsidRDefault="00451BEE" w:rsidP="00451BEE">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 xml:space="preserve">100 EUR - </w:t>
      </w:r>
      <w:r w:rsidRPr="00A809ED">
        <w:rPr>
          <w:rStyle w:val="Pogrubienie"/>
          <w:rFonts w:ascii="Arial" w:hAnsi="Arial" w:cs="Arial"/>
          <w:sz w:val="20"/>
          <w:szCs w:val="20"/>
        </w:rPr>
        <w:t xml:space="preserve">dla pozycji cena </w:t>
      </w:r>
      <w:r>
        <w:rPr>
          <w:rStyle w:val="Pogrubienie"/>
          <w:rFonts w:ascii="Arial" w:hAnsi="Arial" w:cs="Arial"/>
          <w:sz w:val="20"/>
          <w:szCs w:val="20"/>
        </w:rPr>
        <w:t>naprawy P4 (Cp4)</w:t>
      </w:r>
      <w:r w:rsidR="000F7B26">
        <w:rPr>
          <w:rStyle w:val="Pogrubienie"/>
          <w:rFonts w:ascii="Arial" w:hAnsi="Arial" w:cs="Arial"/>
          <w:sz w:val="20"/>
          <w:szCs w:val="20"/>
        </w:rPr>
        <w:t>;</w:t>
      </w:r>
    </w:p>
    <w:p w14:paraId="5B93D761" w14:textId="2D6AEFCD" w:rsidR="00235F24"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004A59F0" w:rsidRPr="00A809ED">
        <w:rPr>
          <w:rStyle w:val="Pogrubienie"/>
          <w:rFonts w:ascii="Arial" w:hAnsi="Arial" w:cs="Arial"/>
          <w:sz w:val="20"/>
          <w:szCs w:val="20"/>
        </w:rPr>
        <w:t xml:space="preserve"> </w:t>
      </w:r>
      <w:r>
        <w:rPr>
          <w:rStyle w:val="Pogrubienie"/>
          <w:rFonts w:ascii="Arial" w:hAnsi="Arial" w:cs="Arial"/>
          <w:sz w:val="20"/>
          <w:szCs w:val="20"/>
        </w:rPr>
        <w:t>EUR</w:t>
      </w:r>
      <w:r w:rsidR="004A59F0"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004A59F0" w:rsidRPr="00A809ED">
        <w:rPr>
          <w:rStyle w:val="Pogrubienie"/>
          <w:rFonts w:ascii="Arial" w:hAnsi="Arial" w:cs="Arial"/>
          <w:sz w:val="20"/>
          <w:szCs w:val="20"/>
        </w:rPr>
        <w:t xml:space="preserve">dla pozycji cena serwisu (Cs); </w:t>
      </w:r>
    </w:p>
    <w:p w14:paraId="7F1B420A" w14:textId="5D109889" w:rsidR="00235F24"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serwisu </w:t>
      </w:r>
      <w:r>
        <w:rPr>
          <w:rStyle w:val="Pogrubienie"/>
          <w:rFonts w:ascii="Arial" w:hAnsi="Arial" w:cs="Arial"/>
          <w:sz w:val="20"/>
          <w:szCs w:val="20"/>
        </w:rPr>
        <w:t xml:space="preserve">powyżej ustalonego limitu </w:t>
      </w:r>
      <w:r w:rsidRPr="00A809ED">
        <w:rPr>
          <w:rStyle w:val="Pogrubienie"/>
          <w:rFonts w:ascii="Arial" w:hAnsi="Arial" w:cs="Arial"/>
          <w:sz w:val="20"/>
          <w:szCs w:val="20"/>
        </w:rPr>
        <w:t>(</w:t>
      </w:r>
      <w:proofErr w:type="spellStart"/>
      <w:r w:rsidRPr="00A809ED">
        <w:rPr>
          <w:rStyle w:val="Pogrubienie"/>
          <w:rFonts w:ascii="Arial" w:hAnsi="Arial" w:cs="Arial"/>
          <w:sz w:val="20"/>
          <w:szCs w:val="20"/>
        </w:rPr>
        <w:t>C</w:t>
      </w:r>
      <w:r>
        <w:rPr>
          <w:rStyle w:val="Pogrubienie"/>
          <w:rFonts w:ascii="Arial" w:hAnsi="Arial" w:cs="Arial"/>
          <w:sz w:val="20"/>
          <w:szCs w:val="20"/>
        </w:rPr>
        <w:t>sd</w:t>
      </w:r>
      <w:proofErr w:type="spellEnd"/>
      <w:r w:rsidRPr="00A809ED">
        <w:rPr>
          <w:rStyle w:val="Pogrubienie"/>
          <w:rFonts w:ascii="Arial" w:hAnsi="Arial" w:cs="Arial"/>
          <w:sz w:val="20"/>
          <w:szCs w:val="20"/>
        </w:rPr>
        <w:t>)</w:t>
      </w:r>
      <w:r w:rsidR="000F7B26">
        <w:rPr>
          <w:rStyle w:val="Pogrubienie"/>
          <w:rFonts w:ascii="Arial" w:hAnsi="Arial" w:cs="Arial"/>
          <w:sz w:val="20"/>
          <w:szCs w:val="20"/>
        </w:rPr>
        <w:t>;</w:t>
      </w:r>
    </w:p>
    <w:p w14:paraId="3C299ABA" w14:textId="50F82445" w:rsidR="00451BEE" w:rsidRDefault="00451BEE" w:rsidP="00451BEE">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w:t>
      </w:r>
      <w:r>
        <w:rPr>
          <w:rStyle w:val="Pogrubienie"/>
          <w:rFonts w:ascii="Arial" w:hAnsi="Arial" w:cs="Arial"/>
          <w:sz w:val="20"/>
          <w:szCs w:val="20"/>
        </w:rPr>
        <w:t>dojazdu</w:t>
      </w:r>
      <w:r w:rsidRPr="00A809ED">
        <w:rPr>
          <w:rStyle w:val="Pogrubienie"/>
          <w:rFonts w:ascii="Arial" w:hAnsi="Arial" w:cs="Arial"/>
          <w:sz w:val="20"/>
          <w:szCs w:val="20"/>
        </w:rPr>
        <w:t xml:space="preserve"> (C</w:t>
      </w:r>
      <w:r>
        <w:rPr>
          <w:rStyle w:val="Pogrubienie"/>
          <w:rFonts w:ascii="Arial" w:hAnsi="Arial" w:cs="Arial"/>
          <w:sz w:val="20"/>
          <w:szCs w:val="20"/>
        </w:rPr>
        <w:t>d</w:t>
      </w:r>
      <w:r w:rsidRPr="00A809ED">
        <w:rPr>
          <w:rStyle w:val="Pogrubienie"/>
          <w:rFonts w:ascii="Arial" w:hAnsi="Arial" w:cs="Arial"/>
          <w:sz w:val="20"/>
          <w:szCs w:val="20"/>
        </w:rPr>
        <w:t xml:space="preserve">); </w:t>
      </w:r>
    </w:p>
    <w:p w14:paraId="043E544E" w14:textId="212D0D5B" w:rsidR="00451BEE" w:rsidRDefault="00451BEE" w:rsidP="00451BEE">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1,00</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w:t>
      </w:r>
      <w:r w:rsidR="009E0644">
        <w:rPr>
          <w:rStyle w:val="Pogrubienie"/>
          <w:rFonts w:ascii="Arial" w:hAnsi="Arial" w:cs="Arial"/>
          <w:sz w:val="20"/>
          <w:szCs w:val="20"/>
        </w:rPr>
        <w:t xml:space="preserve">pracy serwisanta - </w:t>
      </w:r>
      <w:proofErr w:type="spellStart"/>
      <w:r w:rsidR="009E0644">
        <w:rPr>
          <w:rStyle w:val="Pogrubienie"/>
          <w:rFonts w:ascii="Arial" w:hAnsi="Arial" w:cs="Arial"/>
          <w:sz w:val="20"/>
          <w:szCs w:val="20"/>
        </w:rPr>
        <w:t>rbh</w:t>
      </w:r>
      <w:proofErr w:type="spellEnd"/>
      <w:r w:rsidRPr="00A809ED">
        <w:rPr>
          <w:rStyle w:val="Pogrubienie"/>
          <w:rFonts w:ascii="Arial" w:hAnsi="Arial" w:cs="Arial"/>
          <w:sz w:val="20"/>
          <w:szCs w:val="20"/>
        </w:rPr>
        <w:t xml:space="preserve"> (</w:t>
      </w:r>
      <w:proofErr w:type="spellStart"/>
      <w:r w:rsidRPr="00A809ED">
        <w:rPr>
          <w:rStyle w:val="Pogrubienie"/>
          <w:rFonts w:ascii="Arial" w:hAnsi="Arial" w:cs="Arial"/>
          <w:sz w:val="20"/>
          <w:szCs w:val="20"/>
        </w:rPr>
        <w:t>C</w:t>
      </w:r>
      <w:r>
        <w:rPr>
          <w:rStyle w:val="Pogrubienie"/>
          <w:rFonts w:ascii="Arial" w:hAnsi="Arial" w:cs="Arial"/>
          <w:sz w:val="20"/>
          <w:szCs w:val="20"/>
        </w:rPr>
        <w:t>p</w:t>
      </w:r>
      <w:proofErr w:type="spellEnd"/>
      <w:r w:rsidRPr="00A809ED">
        <w:rPr>
          <w:rStyle w:val="Pogrubienie"/>
          <w:rFonts w:ascii="Arial" w:hAnsi="Arial" w:cs="Arial"/>
          <w:sz w:val="20"/>
          <w:szCs w:val="20"/>
        </w:rPr>
        <w:t xml:space="preserve">); </w:t>
      </w:r>
    </w:p>
    <w:p w14:paraId="7D65F166" w14:textId="77777777" w:rsidR="00451BEE" w:rsidRPr="00BB1952" w:rsidRDefault="00451BEE" w:rsidP="00235F24">
      <w:pPr>
        <w:shd w:val="clear" w:color="auto" w:fill="FFFFFF"/>
        <w:spacing w:after="60" w:line="274" w:lineRule="exact"/>
        <w:ind w:left="360"/>
        <w:jc w:val="both"/>
        <w:rPr>
          <w:rStyle w:val="Pogrubienie"/>
          <w:rFonts w:ascii="Arial" w:hAnsi="Arial" w:cs="Arial"/>
          <w:color w:val="FF0000"/>
          <w:sz w:val="20"/>
          <w:szCs w:val="20"/>
        </w:rPr>
      </w:pP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900915">
      <w:pPr>
        <w:numPr>
          <w:ilvl w:val="0"/>
          <w:numId w:val="11"/>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7513C9CA"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w:t>
      </w:r>
      <w:r w:rsidR="00914E95">
        <w:rPr>
          <w:rFonts w:ascii="Arial" w:hAnsi="Arial" w:cs="Arial"/>
          <w:sz w:val="20"/>
          <w:szCs w:val="20"/>
        </w:rPr>
        <w:t>w toku aukcji</w:t>
      </w:r>
      <w:r w:rsidRPr="00833F7A">
        <w:rPr>
          <w:rFonts w:ascii="Arial" w:hAnsi="Arial" w:cs="Arial"/>
          <w:sz w:val="20"/>
          <w:szCs w:val="20"/>
        </w:rPr>
        <w:t xml:space="preserve"> </w:t>
      </w:r>
      <w:proofErr w:type="spellStart"/>
      <w:r w:rsidR="004F47D4">
        <w:rPr>
          <w:rFonts w:ascii="Arial" w:hAnsi="Arial" w:cs="Arial"/>
          <w:sz w:val="20"/>
          <w:szCs w:val="20"/>
        </w:rPr>
        <w:t>A</w:t>
      </w:r>
      <w:r w:rsidRPr="00833F7A">
        <w:rPr>
          <w:rFonts w:ascii="Arial" w:hAnsi="Arial" w:cs="Arial"/>
          <w:sz w:val="20"/>
          <w:szCs w:val="20"/>
        </w:rPr>
        <w:t>uk</w:t>
      </w:r>
      <w:r w:rsidR="00914E95">
        <w:rPr>
          <w:rFonts w:ascii="Arial" w:hAnsi="Arial" w:cs="Arial"/>
          <w:sz w:val="20"/>
          <w:szCs w:val="20"/>
        </w:rPr>
        <w:t>cji</w:t>
      </w:r>
      <w:proofErr w:type="spellEnd"/>
      <w:r w:rsidRPr="00833F7A">
        <w:rPr>
          <w:rFonts w:ascii="Arial" w:hAnsi="Arial" w:cs="Arial"/>
          <w:sz w:val="20"/>
          <w:szCs w:val="20"/>
        </w:rPr>
        <w:t xml:space="preserve"> </w:t>
      </w:r>
      <w:r w:rsidR="00914E95">
        <w:rPr>
          <w:rFonts w:ascii="Arial" w:hAnsi="Arial" w:cs="Arial"/>
          <w:sz w:val="20"/>
          <w:szCs w:val="20"/>
        </w:rPr>
        <w:t xml:space="preserve">na dane Zadanie </w:t>
      </w:r>
      <w:r w:rsidRPr="00833F7A">
        <w:rPr>
          <w:rFonts w:ascii="Arial" w:hAnsi="Arial" w:cs="Arial"/>
          <w:sz w:val="20"/>
          <w:szCs w:val="20"/>
        </w:rPr>
        <w:t xml:space="preserve">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6C0254B2" w:rsidR="004E7EB0" w:rsidRPr="00DF4CE8" w:rsidRDefault="007E1956" w:rsidP="004E7EB0">
      <w:pPr>
        <w:numPr>
          <w:ilvl w:val="0"/>
          <w:numId w:val="6"/>
        </w:numPr>
        <w:spacing w:after="60"/>
        <w:jc w:val="both"/>
        <w:rPr>
          <w:rFonts w:ascii="Arial" w:hAnsi="Arial" w:cs="Arial"/>
          <w:sz w:val="22"/>
          <w:szCs w:val="22"/>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 xml:space="preserve">ożoną </w:t>
      </w:r>
      <w:r w:rsidR="00914E95">
        <w:rPr>
          <w:rFonts w:ascii="Arial" w:hAnsi="Arial" w:cs="Arial"/>
          <w:sz w:val="20"/>
          <w:szCs w:val="20"/>
        </w:rPr>
        <w:t>w toku</w:t>
      </w:r>
      <w:r w:rsidR="0091538A" w:rsidRPr="00833F7A">
        <w:rPr>
          <w:rFonts w:ascii="Arial" w:hAnsi="Arial" w:cs="Arial"/>
          <w:sz w:val="20"/>
          <w:szCs w:val="20"/>
        </w:rPr>
        <w:t xml:space="preserve"> Aukcji</w:t>
      </w:r>
      <w:r w:rsidR="00914E95">
        <w:rPr>
          <w:rFonts w:ascii="Arial" w:hAnsi="Arial" w:cs="Arial"/>
          <w:sz w:val="20"/>
          <w:szCs w:val="20"/>
        </w:rPr>
        <w:t xml:space="preserve"> na dane Zadanie</w:t>
      </w:r>
      <w:r w:rsidR="0091538A" w:rsidRPr="00833F7A">
        <w:rPr>
          <w:rFonts w:ascii="Arial" w:hAnsi="Arial" w:cs="Arial"/>
          <w:sz w:val="20"/>
          <w:szCs w:val="20"/>
        </w:rPr>
        <w:t>,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DF4CE8">
          <w:rPr>
            <w:rStyle w:val="Hipercze"/>
            <w:rFonts w:ascii="Arial" w:hAnsi="Arial" w:cs="Arial"/>
            <w:sz w:val="22"/>
            <w:szCs w:val="22"/>
          </w:rPr>
          <w:t>przetargi.realizacja@pcc.eu</w:t>
        </w:r>
      </w:hyperlink>
    </w:p>
    <w:p w14:paraId="60BBA0E6" w14:textId="10A43DCD" w:rsidR="004E7EB0" w:rsidRPr="00500757" w:rsidRDefault="004E7EB0" w:rsidP="005A7646">
      <w:pPr>
        <w:numPr>
          <w:ilvl w:val="0"/>
          <w:numId w:val="6"/>
        </w:numPr>
        <w:tabs>
          <w:tab w:val="clear" w:pos="360"/>
        </w:tabs>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092749DA" w:rsidR="00E41061"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8EB3D" w14:textId="26B04614" w:rsidR="00A34BFD" w:rsidRDefault="00A34BFD" w:rsidP="00185370">
      <w:pPr>
        <w:tabs>
          <w:tab w:val="left" w:pos="357"/>
        </w:tabs>
        <w:autoSpaceDE w:val="0"/>
        <w:autoSpaceDN w:val="0"/>
        <w:adjustRightInd w:val="0"/>
        <w:spacing w:after="60"/>
        <w:ind w:left="357"/>
        <w:jc w:val="both"/>
        <w:rPr>
          <w:rFonts w:ascii="Arial" w:hAnsi="Arial" w:cs="Arial"/>
          <w:sz w:val="20"/>
          <w:szCs w:val="20"/>
        </w:rPr>
      </w:pPr>
    </w:p>
    <w:p w14:paraId="537D24DD" w14:textId="02FC0396" w:rsidR="00185370" w:rsidRDefault="00185370" w:rsidP="00185370">
      <w:pPr>
        <w:tabs>
          <w:tab w:val="left" w:pos="357"/>
        </w:tabs>
        <w:autoSpaceDE w:val="0"/>
        <w:autoSpaceDN w:val="0"/>
        <w:adjustRightInd w:val="0"/>
        <w:spacing w:after="60"/>
        <w:ind w:left="357"/>
        <w:jc w:val="both"/>
        <w:rPr>
          <w:rFonts w:ascii="Arial" w:hAnsi="Arial" w:cs="Arial"/>
          <w:sz w:val="20"/>
          <w:szCs w:val="20"/>
        </w:rPr>
      </w:pPr>
    </w:p>
    <w:p w14:paraId="1922480B" w14:textId="77777777" w:rsidR="00185370" w:rsidRPr="00833F7A" w:rsidRDefault="00185370" w:rsidP="00185370">
      <w:pPr>
        <w:tabs>
          <w:tab w:val="left" w:pos="357"/>
        </w:tabs>
        <w:autoSpaceDE w:val="0"/>
        <w:autoSpaceDN w:val="0"/>
        <w:adjustRightInd w:val="0"/>
        <w:spacing w:after="60"/>
        <w:ind w:left="357"/>
        <w:jc w:val="both"/>
        <w:rPr>
          <w:rFonts w:ascii="Arial" w:hAnsi="Arial" w:cs="Arial"/>
          <w:sz w:val="20"/>
          <w:szCs w:val="20"/>
        </w:rPr>
      </w:pP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2C2853EE" w:rsidR="00450DC3" w:rsidRDefault="00450DC3" w:rsidP="00450DC3">
      <w:pPr>
        <w:autoSpaceDE w:val="0"/>
        <w:autoSpaceDN w:val="0"/>
        <w:adjustRightInd w:val="0"/>
        <w:spacing w:after="60"/>
        <w:jc w:val="both"/>
        <w:rPr>
          <w:rFonts w:ascii="Arial" w:hAnsi="Arial" w:cs="Arial"/>
          <w:sz w:val="20"/>
          <w:szCs w:val="20"/>
        </w:rPr>
      </w:pPr>
    </w:p>
    <w:p w14:paraId="22288FF4" w14:textId="77777777" w:rsidR="00A34BFD" w:rsidRPr="00833F7A" w:rsidRDefault="00A34BFD" w:rsidP="00450DC3">
      <w:pPr>
        <w:autoSpaceDE w:val="0"/>
        <w:autoSpaceDN w:val="0"/>
        <w:adjustRightInd w:val="0"/>
        <w:spacing w:after="60"/>
        <w:jc w:val="both"/>
        <w:rPr>
          <w:rFonts w:ascii="Arial" w:hAnsi="Arial" w:cs="Arial"/>
          <w:sz w:val="20"/>
          <w:szCs w:val="20"/>
        </w:rPr>
      </w:pPr>
    </w:p>
    <w:p w14:paraId="641E4AFB" w14:textId="4B2853E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w:t>
      </w:r>
      <w:r w:rsidR="007F2486">
        <w:rPr>
          <w:rFonts w:ascii="Arial" w:hAnsi="Arial" w:cs="Arial"/>
          <w:sz w:val="20"/>
          <w:szCs w:val="20"/>
        </w:rPr>
        <w:t>arafowanie</w:t>
      </w:r>
      <w:r w:rsidRPr="00945E91">
        <w:rPr>
          <w:rFonts w:ascii="Arial" w:hAnsi="Arial" w:cs="Arial"/>
          <w:sz w:val="20"/>
          <w:szCs w:val="20"/>
        </w:rPr>
        <w:t xml:space="preserv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47AFB8BC" w14:textId="217BE63F" w:rsidR="008369F9" w:rsidRPr="00401D93" w:rsidRDefault="00EA6343" w:rsidP="00401D93">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sectPr w:rsidR="008369F9" w:rsidRPr="00401D93"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4285" w14:textId="77777777" w:rsidR="009E286F" w:rsidRDefault="009E286F">
      <w:r>
        <w:separator/>
      </w:r>
    </w:p>
  </w:endnote>
  <w:endnote w:type="continuationSeparator" w:id="0">
    <w:p w14:paraId="4B9A6B4F" w14:textId="77777777" w:rsidR="009E286F" w:rsidRDefault="009E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3A26" w14:textId="77777777" w:rsidR="00072FB7"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p>
  <w:p w14:paraId="1F8D410D" w14:textId="78DE7F56" w:rsidR="00434AAF" w:rsidRPr="0031075D" w:rsidRDefault="00A55792" w:rsidP="00072FB7">
    <w:pPr>
      <w:pStyle w:val="Stopka"/>
      <w:pBdr>
        <w:top w:val="single" w:sz="4" w:space="1" w:color="auto"/>
      </w:pBdr>
      <w:jc w:val="both"/>
      <w:rPr>
        <w:rFonts w:ascii="Arial" w:hAnsi="Arial" w:cs="Arial"/>
        <w:b/>
        <w:sz w:val="16"/>
        <w:szCs w:val="16"/>
      </w:rPr>
    </w:pPr>
    <w:r>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B7">
      <w:rPr>
        <w:rFonts w:ascii="Arial" w:hAnsi="Arial" w:cs="Arial"/>
        <w:b/>
        <w:sz w:val="16"/>
        <w:szCs w:val="16"/>
      </w:rPr>
      <w:t>v_27.04.2021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241E" w14:textId="77777777" w:rsidR="009E286F" w:rsidRDefault="009E286F">
      <w:r>
        <w:separator/>
      </w:r>
    </w:p>
  </w:footnote>
  <w:footnote w:type="continuationSeparator" w:id="0">
    <w:p w14:paraId="16E20C6B" w14:textId="77777777" w:rsidR="009E286F" w:rsidRDefault="009E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8C5A" w14:textId="77777777" w:rsidR="00451BEE" w:rsidRDefault="00451BEE" w:rsidP="00451BEE">
    <w:pPr>
      <w:pStyle w:val="Nagwek"/>
    </w:pPr>
    <w:bookmarkStart w:id="12" w:name="_Hlk43380481"/>
    <w:r>
      <w:rPr>
        <w:noProof/>
      </w:rPr>
      <w:drawing>
        <wp:inline distT="0" distB="0" distL="0" distR="0" wp14:anchorId="395A3F0C" wp14:editId="56318DFE">
          <wp:extent cx="5760720" cy="5607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bookmarkEnd w:id="12"/>
  <w:p w14:paraId="7DCBDD1B" w14:textId="434CB005" w:rsidR="008369F9" w:rsidRPr="00451BEE" w:rsidRDefault="008369F9" w:rsidP="00451B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7A6F82"/>
    <w:multiLevelType w:val="hybridMultilevel"/>
    <w:tmpl w:val="34BA16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6"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DF2B26"/>
    <w:multiLevelType w:val="hybridMultilevel"/>
    <w:tmpl w:val="3918D4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D6770A2"/>
    <w:multiLevelType w:val="multilevel"/>
    <w:tmpl w:val="D6587C4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E8140B1"/>
    <w:multiLevelType w:val="hybridMultilevel"/>
    <w:tmpl w:val="9DF8B89E"/>
    <w:lvl w:ilvl="0" w:tplc="30FA69C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9"/>
  </w:num>
  <w:num w:numId="5">
    <w:abstractNumId w:val="16"/>
  </w:num>
  <w:num w:numId="6">
    <w:abstractNumId w:val="14"/>
  </w:num>
  <w:num w:numId="7">
    <w:abstractNumId w:val="13"/>
  </w:num>
  <w:num w:numId="8">
    <w:abstractNumId w:val="17"/>
  </w:num>
  <w:num w:numId="9">
    <w:abstractNumId w:val="10"/>
  </w:num>
  <w:num w:numId="10">
    <w:abstractNumId w:val="11"/>
  </w:num>
  <w:num w:numId="11">
    <w:abstractNumId w:val="15"/>
  </w:num>
  <w:num w:numId="12">
    <w:abstractNumId w:val="7"/>
  </w:num>
  <w:num w:numId="13">
    <w:abstractNumId w:val="4"/>
  </w:num>
  <w:num w:numId="14">
    <w:abstractNumId w:val="19"/>
  </w:num>
  <w:num w:numId="15">
    <w:abstractNumId w:val="1"/>
  </w:num>
  <w:num w:numId="16">
    <w:abstractNumId w:val="17"/>
  </w:num>
  <w:num w:numId="17">
    <w:abstractNumId w:val="8"/>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2FB7"/>
    <w:rsid w:val="000756F4"/>
    <w:rsid w:val="0007678D"/>
    <w:rsid w:val="00081EDF"/>
    <w:rsid w:val="00084495"/>
    <w:rsid w:val="00085758"/>
    <w:rsid w:val="000869A5"/>
    <w:rsid w:val="000A1A6D"/>
    <w:rsid w:val="000A1EFB"/>
    <w:rsid w:val="000A2059"/>
    <w:rsid w:val="000A2488"/>
    <w:rsid w:val="000A3B6E"/>
    <w:rsid w:val="000A407A"/>
    <w:rsid w:val="000B5060"/>
    <w:rsid w:val="000C22A7"/>
    <w:rsid w:val="000C2F98"/>
    <w:rsid w:val="000C503A"/>
    <w:rsid w:val="000C7C33"/>
    <w:rsid w:val="000C7F93"/>
    <w:rsid w:val="000E085E"/>
    <w:rsid w:val="000E110D"/>
    <w:rsid w:val="000F4E75"/>
    <w:rsid w:val="000F5777"/>
    <w:rsid w:val="000F7B26"/>
    <w:rsid w:val="000F7F13"/>
    <w:rsid w:val="00101D2F"/>
    <w:rsid w:val="001035CF"/>
    <w:rsid w:val="00104708"/>
    <w:rsid w:val="00105717"/>
    <w:rsid w:val="0010682C"/>
    <w:rsid w:val="0012528D"/>
    <w:rsid w:val="00125826"/>
    <w:rsid w:val="00130186"/>
    <w:rsid w:val="00134E3E"/>
    <w:rsid w:val="00155A33"/>
    <w:rsid w:val="00156A3E"/>
    <w:rsid w:val="0016087E"/>
    <w:rsid w:val="00164FE8"/>
    <w:rsid w:val="001842CD"/>
    <w:rsid w:val="00185370"/>
    <w:rsid w:val="00186C11"/>
    <w:rsid w:val="001928BF"/>
    <w:rsid w:val="00194458"/>
    <w:rsid w:val="001A49D3"/>
    <w:rsid w:val="001A560C"/>
    <w:rsid w:val="001A5EAD"/>
    <w:rsid w:val="001B070F"/>
    <w:rsid w:val="001B2537"/>
    <w:rsid w:val="001B2F9A"/>
    <w:rsid w:val="001B683C"/>
    <w:rsid w:val="001C3523"/>
    <w:rsid w:val="001C5E19"/>
    <w:rsid w:val="001C7F79"/>
    <w:rsid w:val="001E4FE3"/>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5F24"/>
    <w:rsid w:val="00237995"/>
    <w:rsid w:val="00246182"/>
    <w:rsid w:val="00257F52"/>
    <w:rsid w:val="00263D6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1642"/>
    <w:rsid w:val="00302ABA"/>
    <w:rsid w:val="003036D2"/>
    <w:rsid w:val="0031075D"/>
    <w:rsid w:val="00313827"/>
    <w:rsid w:val="00313A41"/>
    <w:rsid w:val="003140FF"/>
    <w:rsid w:val="00317D26"/>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1D93"/>
    <w:rsid w:val="00403A4F"/>
    <w:rsid w:val="00403B55"/>
    <w:rsid w:val="0040479E"/>
    <w:rsid w:val="0040521B"/>
    <w:rsid w:val="00405E88"/>
    <w:rsid w:val="004118DC"/>
    <w:rsid w:val="00415A79"/>
    <w:rsid w:val="0042084A"/>
    <w:rsid w:val="004239AF"/>
    <w:rsid w:val="004239E1"/>
    <w:rsid w:val="00433267"/>
    <w:rsid w:val="00434AAF"/>
    <w:rsid w:val="00437533"/>
    <w:rsid w:val="00442E36"/>
    <w:rsid w:val="00443D04"/>
    <w:rsid w:val="0044451F"/>
    <w:rsid w:val="004502BC"/>
    <w:rsid w:val="00450DC3"/>
    <w:rsid w:val="00451BEE"/>
    <w:rsid w:val="004618FD"/>
    <w:rsid w:val="00466CEA"/>
    <w:rsid w:val="004717FC"/>
    <w:rsid w:val="0049651A"/>
    <w:rsid w:val="00496AAA"/>
    <w:rsid w:val="004A3BE2"/>
    <w:rsid w:val="004A5204"/>
    <w:rsid w:val="004A59F0"/>
    <w:rsid w:val="004A5B4E"/>
    <w:rsid w:val="004A6248"/>
    <w:rsid w:val="004A66AF"/>
    <w:rsid w:val="004A6762"/>
    <w:rsid w:val="004B005E"/>
    <w:rsid w:val="004B10DF"/>
    <w:rsid w:val="004C06A7"/>
    <w:rsid w:val="004C6BA2"/>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2280"/>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A7646"/>
    <w:rsid w:val="005B0FCC"/>
    <w:rsid w:val="005D7238"/>
    <w:rsid w:val="005E2CD0"/>
    <w:rsid w:val="005E43F4"/>
    <w:rsid w:val="005E5B2C"/>
    <w:rsid w:val="005E6A56"/>
    <w:rsid w:val="005E702D"/>
    <w:rsid w:val="005F3D71"/>
    <w:rsid w:val="005F5B5C"/>
    <w:rsid w:val="006007E8"/>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93E"/>
    <w:rsid w:val="00701DE6"/>
    <w:rsid w:val="007022A0"/>
    <w:rsid w:val="00703DCE"/>
    <w:rsid w:val="00711B05"/>
    <w:rsid w:val="00711C2C"/>
    <w:rsid w:val="00716A91"/>
    <w:rsid w:val="00720F8B"/>
    <w:rsid w:val="007215B1"/>
    <w:rsid w:val="00735E50"/>
    <w:rsid w:val="007419BB"/>
    <w:rsid w:val="00743186"/>
    <w:rsid w:val="00750309"/>
    <w:rsid w:val="007510AE"/>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7F2486"/>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561E7"/>
    <w:rsid w:val="0086006B"/>
    <w:rsid w:val="00860532"/>
    <w:rsid w:val="0086404E"/>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982"/>
    <w:rsid w:val="008C7A2A"/>
    <w:rsid w:val="008D3CA2"/>
    <w:rsid w:val="008D4B8B"/>
    <w:rsid w:val="008D7AFA"/>
    <w:rsid w:val="008E2326"/>
    <w:rsid w:val="008E4954"/>
    <w:rsid w:val="008E4AC4"/>
    <w:rsid w:val="008E58D3"/>
    <w:rsid w:val="008F0F2D"/>
    <w:rsid w:val="008F4B45"/>
    <w:rsid w:val="00900915"/>
    <w:rsid w:val="00901E49"/>
    <w:rsid w:val="0090627F"/>
    <w:rsid w:val="00914E95"/>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C555E"/>
    <w:rsid w:val="009D1B7D"/>
    <w:rsid w:val="009D3AEA"/>
    <w:rsid w:val="009D5C58"/>
    <w:rsid w:val="009E0644"/>
    <w:rsid w:val="009E286F"/>
    <w:rsid w:val="009E5273"/>
    <w:rsid w:val="009E57F6"/>
    <w:rsid w:val="009E73DF"/>
    <w:rsid w:val="009E7B0A"/>
    <w:rsid w:val="009F0F84"/>
    <w:rsid w:val="009F32EE"/>
    <w:rsid w:val="009F75FF"/>
    <w:rsid w:val="00A11EC4"/>
    <w:rsid w:val="00A148E9"/>
    <w:rsid w:val="00A15874"/>
    <w:rsid w:val="00A278FA"/>
    <w:rsid w:val="00A3131F"/>
    <w:rsid w:val="00A34B4B"/>
    <w:rsid w:val="00A34BFD"/>
    <w:rsid w:val="00A35745"/>
    <w:rsid w:val="00A50CF3"/>
    <w:rsid w:val="00A552D1"/>
    <w:rsid w:val="00A55792"/>
    <w:rsid w:val="00A6571C"/>
    <w:rsid w:val="00A65AFA"/>
    <w:rsid w:val="00A7411C"/>
    <w:rsid w:val="00A809ED"/>
    <w:rsid w:val="00A94478"/>
    <w:rsid w:val="00A976EF"/>
    <w:rsid w:val="00AA0833"/>
    <w:rsid w:val="00AA24A3"/>
    <w:rsid w:val="00AA66D8"/>
    <w:rsid w:val="00AB0357"/>
    <w:rsid w:val="00AB683B"/>
    <w:rsid w:val="00AB7BA1"/>
    <w:rsid w:val="00AC06A8"/>
    <w:rsid w:val="00AD0ABD"/>
    <w:rsid w:val="00AD4C02"/>
    <w:rsid w:val="00AE066B"/>
    <w:rsid w:val="00AE143A"/>
    <w:rsid w:val="00AE1DD2"/>
    <w:rsid w:val="00AF16D7"/>
    <w:rsid w:val="00B009CB"/>
    <w:rsid w:val="00B126B9"/>
    <w:rsid w:val="00B143EC"/>
    <w:rsid w:val="00B250EC"/>
    <w:rsid w:val="00B342AD"/>
    <w:rsid w:val="00B45BE0"/>
    <w:rsid w:val="00B45C22"/>
    <w:rsid w:val="00B46A6B"/>
    <w:rsid w:val="00B5082B"/>
    <w:rsid w:val="00B5158A"/>
    <w:rsid w:val="00B5686C"/>
    <w:rsid w:val="00B56F94"/>
    <w:rsid w:val="00B71FA3"/>
    <w:rsid w:val="00B740F6"/>
    <w:rsid w:val="00B821F4"/>
    <w:rsid w:val="00B864E0"/>
    <w:rsid w:val="00B86EBE"/>
    <w:rsid w:val="00B9099B"/>
    <w:rsid w:val="00B9472C"/>
    <w:rsid w:val="00B95387"/>
    <w:rsid w:val="00B97E82"/>
    <w:rsid w:val="00BA17CA"/>
    <w:rsid w:val="00BA4659"/>
    <w:rsid w:val="00BA72E5"/>
    <w:rsid w:val="00BB0768"/>
    <w:rsid w:val="00BB1952"/>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CF57DE"/>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B51F0"/>
    <w:rsid w:val="00DC6B32"/>
    <w:rsid w:val="00DD246C"/>
    <w:rsid w:val="00DD7C3E"/>
    <w:rsid w:val="00DE3C4C"/>
    <w:rsid w:val="00DE746E"/>
    <w:rsid w:val="00DF12ED"/>
    <w:rsid w:val="00DF209D"/>
    <w:rsid w:val="00DF4CE8"/>
    <w:rsid w:val="00E00013"/>
    <w:rsid w:val="00E02F6E"/>
    <w:rsid w:val="00E14242"/>
    <w:rsid w:val="00E17A5D"/>
    <w:rsid w:val="00E17B8E"/>
    <w:rsid w:val="00E17BDB"/>
    <w:rsid w:val="00E22AE4"/>
    <w:rsid w:val="00E23250"/>
    <w:rsid w:val="00E244F4"/>
    <w:rsid w:val="00E26FBD"/>
    <w:rsid w:val="00E37854"/>
    <w:rsid w:val="00E41061"/>
    <w:rsid w:val="00E41B41"/>
    <w:rsid w:val="00E433E2"/>
    <w:rsid w:val="00E44C6E"/>
    <w:rsid w:val="00E5513E"/>
    <w:rsid w:val="00E57BD0"/>
    <w:rsid w:val="00E611AB"/>
    <w:rsid w:val="00E66261"/>
    <w:rsid w:val="00E72A46"/>
    <w:rsid w:val="00E749C5"/>
    <w:rsid w:val="00E74E02"/>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C0FB-628D-411E-8D99-78A2E163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1596</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11150</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13</cp:revision>
  <cp:lastPrinted>2013-05-09T07:34:00Z</cp:lastPrinted>
  <dcterms:created xsi:type="dcterms:W3CDTF">2020-03-06T14:27:00Z</dcterms:created>
  <dcterms:modified xsi:type="dcterms:W3CDTF">2021-04-27T10:26:00Z</dcterms:modified>
</cp:coreProperties>
</file>