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</w:p>
    <w:p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:rsidR="00CF1EE4" w:rsidRPr="00C647AF" w:rsidRDefault="00CF1EE4" w:rsidP="00681A3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zapewni hot-</w:t>
      </w:r>
      <w:proofErr w:type="spellStart"/>
      <w:r w:rsidRPr="00C647AF">
        <w:rPr>
          <w:rFonts w:ascii="Arial" w:hAnsi="Arial" w:cs="Arial"/>
        </w:rPr>
        <w:t>line</w:t>
      </w:r>
      <w:proofErr w:type="spellEnd"/>
      <w:r w:rsidRPr="00C647AF">
        <w:rPr>
          <w:rFonts w:ascii="Arial" w:hAnsi="Arial" w:cs="Arial"/>
        </w:rPr>
        <w:t xml:space="preserve">, czyli wsparcie telefoniczne  czynne w systemie ciągłym 24/7, umożliwiające kontakt maszynisty z serwisantem w języku polskim oraz w każdym języku kraju dla którego lokomotywa posiada dopuszczenie do eksploatacji. W przypadku braku możliwości zdalnego usprawnienia lokomotywy w drodze instrukcji wydawanych maszyniście przez technika wsparcia telefonicznego, serwis zobowiązany jest dotrzeć w </w:t>
      </w:r>
      <w:r w:rsidRPr="00C647AF">
        <w:rPr>
          <w:rFonts w:ascii="Arial" w:hAnsi="Arial" w:cs="Arial"/>
          <w:b/>
        </w:rPr>
        <w:t xml:space="preserve">ciągu do </w:t>
      </w:r>
      <w:r w:rsidR="005668FB" w:rsidRPr="005668FB">
        <w:rPr>
          <w:rFonts w:ascii="Arial" w:hAnsi="Arial" w:cs="Arial"/>
          <w:b/>
          <w:color w:val="0000FF"/>
        </w:rPr>
        <w:t>24</w:t>
      </w:r>
      <w:r w:rsidRPr="00C647AF">
        <w:rPr>
          <w:rFonts w:ascii="Arial" w:hAnsi="Arial" w:cs="Arial"/>
          <w:b/>
        </w:rPr>
        <w:t xml:space="preserve"> godzin</w:t>
      </w:r>
      <w:r w:rsidRPr="00C647AF">
        <w:rPr>
          <w:rFonts w:ascii="Arial" w:hAnsi="Arial" w:cs="Arial"/>
        </w:rPr>
        <w:t xml:space="preserve"> do miejsca awarii lokomotywy </w:t>
      </w:r>
      <w:r w:rsidR="005668FB" w:rsidRPr="005668FB">
        <w:rPr>
          <w:rFonts w:ascii="Arial" w:hAnsi="Arial" w:cs="Arial"/>
          <w:color w:val="0000FF"/>
        </w:rPr>
        <w:t>(</w:t>
      </w:r>
      <w:r w:rsidR="005668FB" w:rsidRPr="005668FB">
        <w:rPr>
          <w:rFonts w:ascii="Arial" w:hAnsi="Arial" w:cs="Arial"/>
          <w:color w:val="0000FF"/>
          <w:u w:val="single"/>
        </w:rPr>
        <w:t>awarii lub wady uniemożliwiającej eksploatację</w:t>
      </w:r>
      <w:r w:rsidR="005668FB" w:rsidRPr="005668FB">
        <w:rPr>
          <w:rFonts w:ascii="Arial" w:hAnsi="Arial" w:cs="Arial"/>
          <w:color w:val="0000FF"/>
        </w:rPr>
        <w:t xml:space="preserve"> lokomotywy zgodnie z jej przeznaczeniem</w:t>
      </w:r>
      <w:r w:rsidR="005668FB" w:rsidRPr="005668FB">
        <w:rPr>
          <w:rFonts w:ascii="Arial" w:hAnsi="Arial" w:cs="Arial"/>
          <w:color w:val="0000FF"/>
        </w:rPr>
        <w:t>)</w:t>
      </w:r>
      <w:r w:rsidR="005668FB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 xml:space="preserve">oraz </w:t>
      </w:r>
      <w:r w:rsidRPr="00C647AF">
        <w:rPr>
          <w:rFonts w:ascii="Arial" w:hAnsi="Arial" w:cs="Arial"/>
          <w:b/>
        </w:rPr>
        <w:t>usprawnić ją do 2 dni roboczych</w:t>
      </w:r>
      <w:r w:rsidRPr="00C647AF">
        <w:rPr>
          <w:rFonts w:ascii="Arial" w:hAnsi="Arial" w:cs="Arial"/>
        </w:rPr>
        <w:t xml:space="preserve"> pod rygorem</w:t>
      </w:r>
      <w:r w:rsidR="00FF58CD" w:rsidRPr="00C647AF">
        <w:rPr>
          <w:rFonts w:ascii="Arial" w:hAnsi="Arial" w:cs="Arial"/>
        </w:rPr>
        <w:t xml:space="preserve"> m. in. </w:t>
      </w:r>
      <w:r w:rsidRPr="00C647AF">
        <w:rPr>
          <w:rFonts w:ascii="Arial" w:hAnsi="Arial" w:cs="Arial"/>
        </w:rPr>
        <w:t>naliczenia kar umownych za każdy dzień opóźnienia.</w:t>
      </w:r>
    </w:p>
    <w:p w:rsidR="008E76EB" w:rsidRPr="00C647AF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:rsidR="00681A30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serwisowych na poziomach ilościowym i jakościowym przy zachowaniu dostępności do usług zgodnie z warunkami umowy zawartej w ramach niniejszego postępowania.</w:t>
      </w:r>
    </w:p>
    <w:p w:rsidR="005668FB" w:rsidRPr="005668FB" w:rsidRDefault="005668FB" w:rsidP="005668FB">
      <w:pPr>
        <w:pStyle w:val="Akapitzlist"/>
        <w:rPr>
          <w:rFonts w:ascii="Arial" w:hAnsi="Arial" w:cs="Arial"/>
        </w:rPr>
      </w:pPr>
    </w:p>
    <w:p w:rsidR="005668FB" w:rsidRPr="005668FB" w:rsidRDefault="005668FB" w:rsidP="005668FB">
      <w:pPr>
        <w:jc w:val="both"/>
        <w:rPr>
          <w:rFonts w:ascii="Arial" w:hAnsi="Arial" w:cs="Arial"/>
        </w:rPr>
      </w:pPr>
    </w:p>
    <w:p w:rsidR="008E76EB" w:rsidRPr="00C647AF" w:rsidRDefault="008E76EB" w:rsidP="008E76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647AF">
        <w:rPr>
          <w:rFonts w:ascii="Arial" w:eastAsia="Times New Roman" w:hAnsi="Arial" w:cs="Arial"/>
          <w:lang w:eastAsia="pl-PL"/>
        </w:rPr>
        <w:lastRenderedPageBreak/>
        <w:t xml:space="preserve">zobowiązuje się do utrzymania </w:t>
      </w:r>
      <w:r w:rsidRPr="00C647A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Pr="00C647AF">
        <w:rPr>
          <w:rFonts w:ascii="Arial" w:eastAsia="Times New Roman" w:hAnsi="Arial" w:cs="Arial"/>
          <w:lang w:eastAsia="pl-PL"/>
        </w:rPr>
        <w:t xml:space="preserve"> na poziomie nie niższym niż 0,94, przy założeniu, iż Wskaźnik gotowości G jest obliczany wg wzoru:</w:t>
      </w:r>
    </w:p>
    <w:p w:rsidR="008E76EB" w:rsidRPr="00C647AF" w:rsidRDefault="008E76EB" w:rsidP="008E76EB">
      <w:pPr>
        <w:spacing w:before="120" w:after="0" w:line="30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m:oMathPara>
        <m:oMath>
          <m:r>
            <w:rPr>
              <w:rFonts w:ascii="Cambria Math" w:eastAsia="Times New Roman" w:hAnsi="Cambria Math" w:cs="Arial"/>
              <w:lang w:eastAsia="pl-PL"/>
            </w:rPr>
            <m:t>G</m:t>
          </m:r>
          <m:r>
            <m:rPr>
              <m:sty m:val="p"/>
            </m:rPr>
            <w:rPr>
              <w:rFonts w:ascii="Cambria Math" w:eastAsia="Times New Roman" w:hAnsi="Cambria Math" w:cs="Arial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pl-PL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-</m:t>
              </m:r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num>
            <m:den>
              <m:r>
                <w:rPr>
                  <w:rFonts w:ascii="Cambria Math" w:eastAsia="Times New Roman" w:hAnsi="Cambria Math" w:cs="Arial"/>
                  <w:lang w:eastAsia="pl-PL"/>
                </w:rPr>
                <m:t>T</m:t>
              </m:r>
            </m:den>
          </m:f>
        </m:oMath>
      </m:oMathPara>
    </w:p>
    <w:p w:rsidR="00C647AF" w:rsidRPr="00C647AF" w:rsidRDefault="00C647AF" w:rsidP="00C647AF">
      <w:pPr>
        <w:spacing w:before="120" w:line="300" w:lineRule="auto"/>
        <w:ind w:left="142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gdzie:</w:t>
      </w:r>
    </w:p>
    <w:p w:rsidR="00C647AF" w:rsidRPr="00C647AF" w:rsidRDefault="00C647AF" w:rsidP="00C647AF">
      <w:pPr>
        <w:spacing w:before="120" w:line="300" w:lineRule="auto"/>
        <w:ind w:left="142"/>
        <w:contextualSpacing/>
        <w:jc w:val="both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T </w:t>
      </w:r>
      <w:r w:rsidRPr="00C647AF">
        <w:rPr>
          <w:rFonts w:ascii="Arial" w:hAnsi="Arial" w:cs="Arial"/>
        </w:rPr>
        <w:t>– całkowita liczba godzin w okresie, dla którego wyznaczany jest wskaźnik, liczony w okresie rozliczeniowym, o którym mowa w niniejszym oświadczeniu;</w:t>
      </w:r>
    </w:p>
    <w:p w:rsidR="00C647AF" w:rsidRPr="00C647AF" w:rsidRDefault="00C647AF" w:rsidP="00C647AF">
      <w:pPr>
        <w:spacing w:before="120" w:line="300" w:lineRule="auto"/>
        <w:ind w:left="142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  <w:b/>
        </w:rPr>
        <w:t>N</w:t>
      </w:r>
      <w:r w:rsidRPr="00C647AF">
        <w:rPr>
          <w:rFonts w:ascii="Arial" w:hAnsi="Arial" w:cs="Arial"/>
        </w:rPr>
        <w:t xml:space="preserve"> – liczba godzin niedostępności lokomotywy w roku; do godzin niedostępności zalicza się:</w:t>
      </w:r>
    </w:p>
    <w:p w:rsidR="00C647AF" w:rsidRPr="00C647AF" w:rsidRDefault="00C647AF" w:rsidP="00C647AF">
      <w:pPr>
        <w:numPr>
          <w:ilvl w:val="0"/>
          <w:numId w:val="6"/>
        </w:numPr>
        <w:spacing w:before="120" w:after="0" w:line="300" w:lineRule="auto"/>
        <w:ind w:left="567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czas trwania czynności </w:t>
      </w:r>
      <w:bookmarkStart w:id="0" w:name="_Hlk511052795"/>
      <w:r w:rsidRPr="00C647AF">
        <w:rPr>
          <w:rFonts w:ascii="Arial" w:hAnsi="Arial" w:cs="Arial"/>
        </w:rPr>
        <w:t xml:space="preserve">utrzymania (serwisu) </w:t>
      </w:r>
      <w:r w:rsidRPr="00C647AF">
        <w:rPr>
          <w:rFonts w:ascii="Arial" w:hAnsi="Arial" w:cs="Arial"/>
          <w:b/>
          <w:bCs/>
        </w:rPr>
        <w:t>prewencyjnego</w:t>
      </w:r>
      <w:r w:rsidRPr="00C647AF">
        <w:rPr>
          <w:rFonts w:ascii="Arial" w:hAnsi="Arial" w:cs="Arial"/>
        </w:rPr>
        <w:t xml:space="preserve"> </w:t>
      </w:r>
      <w:bookmarkEnd w:id="0"/>
      <w:r w:rsidRPr="00C647AF">
        <w:rPr>
          <w:rFonts w:ascii="Arial" w:hAnsi="Arial" w:cs="Arial"/>
        </w:rPr>
        <w:t>poziomu P1, P2 i P3 oraz wszelkich innych czynności planowych zgodnie z DSU, w tym także czas niezbędny do dokonania wymiany elementów podlegających zużyciu w toku eksploatacji, jak np. nakładki pantografu, wstawki hamulcowe, oraz materiałów podlegających wymianie, jak np.: filtry, płyny eksploatacyjne;</w:t>
      </w:r>
    </w:p>
    <w:p w:rsidR="00C647AF" w:rsidRPr="00C647AF" w:rsidRDefault="00C647AF" w:rsidP="00C647AF">
      <w:pPr>
        <w:numPr>
          <w:ilvl w:val="0"/>
          <w:numId w:val="6"/>
        </w:numPr>
        <w:spacing w:before="120" w:after="0" w:line="300" w:lineRule="auto"/>
        <w:ind w:left="567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czas wyłączeń z ruchu lokomotywy w celu wykonania czynności utrzymania (serwisu) </w:t>
      </w:r>
      <w:r w:rsidRPr="00C647AF">
        <w:rPr>
          <w:rFonts w:ascii="Arial" w:hAnsi="Arial" w:cs="Arial"/>
          <w:b/>
          <w:bCs/>
        </w:rPr>
        <w:t>korekcyjnego</w:t>
      </w:r>
      <w:r w:rsidRPr="00C647AF">
        <w:rPr>
          <w:rFonts w:ascii="Arial" w:hAnsi="Arial" w:cs="Arial"/>
        </w:rPr>
        <w:t xml:space="preserve"> w tym czas postoju lokomotywy w związku z wykonywaniem napraw gwarancyjnych, </w:t>
      </w:r>
      <w:r w:rsidRPr="00C647AF">
        <w:rPr>
          <w:rFonts w:ascii="Arial" w:hAnsi="Arial" w:cs="Arial"/>
          <w:b/>
          <w:bCs/>
        </w:rPr>
        <w:t>z wyłączeniem</w:t>
      </w:r>
      <w:r w:rsidRPr="00C647AF">
        <w:rPr>
          <w:rFonts w:ascii="Arial" w:hAnsi="Arial" w:cs="Arial"/>
        </w:rPr>
        <w:t xml:space="preserve"> czynności w zakresie uszkodzeń będących skutkiem aktu wandalizmu, siły wyższej czy też spowodowanych nieprawidłową obsługą lub eksploatacją lokomotywy, które nie są objęte utrzymaniem korekcyjnym.</w:t>
      </w:r>
    </w:p>
    <w:p w:rsidR="00C647AF" w:rsidRPr="00C647AF" w:rsidRDefault="00C647AF" w:rsidP="00C647AF">
      <w:pPr>
        <w:spacing w:line="300" w:lineRule="auto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Wskaźnik gotowości G, będzie wyliczany dla każdej lokomotywy będącej przedmiotem dostawy i świadczenia usług utrzymania. Wskaźnik będzie wyliczany w terminie do 30 dni od zakończenia każdego roku kalendarzowego. Wskaźnik gotowości będzie wyliczany w następujących okresach:</w:t>
      </w:r>
    </w:p>
    <w:p w:rsidR="00C647AF" w:rsidRPr="00C647AF" w:rsidRDefault="00C647AF" w:rsidP="00C647AF">
      <w:pPr>
        <w:spacing w:line="300" w:lineRule="auto"/>
        <w:ind w:left="426" w:hanging="284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a) od dnia następnego po dniu dostawy lokomotywy do 31 grudnia roku, w którym dokonano dostawy, z tym że jeżeli będzie mniej niż 3 miesiące, to czas ten będzie uwzględniony do wyliczenia wskaźnika za następny rok kalendarzowy, </w:t>
      </w:r>
    </w:p>
    <w:p w:rsidR="00C647AF" w:rsidRPr="00C647AF" w:rsidRDefault="00C647AF" w:rsidP="00C647AF">
      <w:pPr>
        <w:spacing w:line="300" w:lineRule="auto"/>
        <w:ind w:left="426" w:hanging="284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b) od 1 stycznia do 31 grudnia dla każdego roku kalendarzowego pełnej eksploatacji lokomotywy,</w:t>
      </w:r>
    </w:p>
    <w:p w:rsidR="00CA22BB" w:rsidRDefault="00C647AF" w:rsidP="005668FB">
      <w:pPr>
        <w:spacing w:line="300" w:lineRule="auto"/>
        <w:ind w:left="426" w:hanging="284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c) od 1 stycznia do dnia przekazania lokomotywy na pierwszą naprawę czwartego poziomu utrzymania (P4), o ile będzie to okres nie krótszy niż 3 miesiące. Dla okresów krótszych niż 3 miesiące wskaźnik G nie będzie wyliczany.</w:t>
      </w:r>
    </w:p>
    <w:p w:rsidR="005668FB" w:rsidRPr="005668FB" w:rsidRDefault="005668FB" w:rsidP="005668FB">
      <w:pPr>
        <w:spacing w:line="300" w:lineRule="auto"/>
        <w:ind w:left="426" w:hanging="284"/>
        <w:contextualSpacing/>
        <w:jc w:val="both"/>
        <w:rPr>
          <w:rFonts w:ascii="Arial" w:hAnsi="Arial" w:cs="Arial"/>
          <w:sz w:val="10"/>
          <w:szCs w:val="10"/>
        </w:rPr>
      </w:pPr>
    </w:p>
    <w:p w:rsidR="00E43E85" w:rsidRPr="00C647AF" w:rsidRDefault="008E76EB" w:rsidP="00C647AF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C647AF">
        <w:rPr>
          <w:rFonts w:ascii="Arial" w:eastAsia="Times New Roman" w:hAnsi="Arial" w:cs="Arial"/>
          <w:bCs/>
          <w:lang w:eastAsia="pl-PL"/>
        </w:rPr>
        <w:t>Oferta zawierająca wskaźnik gotowości niższy niż 0,94 zostanie odrzucona jako niezgodna z wymaganiami Zamawiającego. W przypadku, gdy lokomotywa posiada dopuszczenia dla dodatkowych krajów ponad te wymagane przez Zamawiającego,  jakiekolwiek czynności dotyczące utrzymania dodatkowych systemów</w:t>
      </w:r>
      <w:r w:rsidR="00C647AF">
        <w:rPr>
          <w:rFonts w:ascii="Arial" w:eastAsia="Times New Roman" w:hAnsi="Arial" w:cs="Arial"/>
          <w:bCs/>
          <w:lang w:eastAsia="pl-PL"/>
        </w:rPr>
        <w:t>,</w:t>
      </w:r>
      <w:r w:rsidRPr="00C647AF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:rsidR="00A50066" w:rsidRPr="00C647AF" w:rsidRDefault="00A50066" w:rsidP="00EF6B47">
      <w:pPr>
        <w:jc w:val="both"/>
        <w:rPr>
          <w:rFonts w:ascii="Arial" w:hAnsi="Arial" w:cs="Arial"/>
        </w:rPr>
      </w:pPr>
      <w:bookmarkStart w:id="1" w:name="_GoBack"/>
      <w:bookmarkEnd w:id="1"/>
    </w:p>
    <w:p w:rsid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49" w:rsidRDefault="00B95349">
      <w:pPr>
        <w:spacing w:after="0" w:line="240" w:lineRule="auto"/>
      </w:pPr>
      <w:r>
        <w:separator/>
      </w:r>
    </w:p>
  </w:endnote>
  <w:endnote w:type="continuationSeparator" w:id="0">
    <w:p w:rsidR="00B95349" w:rsidRDefault="00B9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B95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49" w:rsidRDefault="00B95349">
      <w:pPr>
        <w:spacing w:after="0" w:line="240" w:lineRule="auto"/>
      </w:pPr>
      <w:r>
        <w:separator/>
      </w:r>
    </w:p>
  </w:footnote>
  <w:footnote w:type="continuationSeparator" w:id="0">
    <w:p w:rsidR="00B95349" w:rsidRDefault="00B9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3B" w:rsidRDefault="00A5423B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7450"/>
    <w:rsid w:val="00093E49"/>
    <w:rsid w:val="00112498"/>
    <w:rsid w:val="00114CC4"/>
    <w:rsid w:val="0016006A"/>
    <w:rsid w:val="002E197F"/>
    <w:rsid w:val="002E26EF"/>
    <w:rsid w:val="002E7058"/>
    <w:rsid w:val="003840EE"/>
    <w:rsid w:val="0042243B"/>
    <w:rsid w:val="00490879"/>
    <w:rsid w:val="004F5E58"/>
    <w:rsid w:val="005668FB"/>
    <w:rsid w:val="005A084D"/>
    <w:rsid w:val="006802F1"/>
    <w:rsid w:val="00681A30"/>
    <w:rsid w:val="006D169F"/>
    <w:rsid w:val="00704CE2"/>
    <w:rsid w:val="00704CEB"/>
    <w:rsid w:val="007177A0"/>
    <w:rsid w:val="00752D96"/>
    <w:rsid w:val="00787217"/>
    <w:rsid w:val="007A3219"/>
    <w:rsid w:val="008021F9"/>
    <w:rsid w:val="008377E2"/>
    <w:rsid w:val="00851B0A"/>
    <w:rsid w:val="008559C2"/>
    <w:rsid w:val="008A1178"/>
    <w:rsid w:val="008A2014"/>
    <w:rsid w:val="008E76EB"/>
    <w:rsid w:val="00923DFD"/>
    <w:rsid w:val="00952F1E"/>
    <w:rsid w:val="009B3CB1"/>
    <w:rsid w:val="00A105B6"/>
    <w:rsid w:val="00A2276A"/>
    <w:rsid w:val="00A50066"/>
    <w:rsid w:val="00A5423B"/>
    <w:rsid w:val="00A5628C"/>
    <w:rsid w:val="00A82D3B"/>
    <w:rsid w:val="00AA1700"/>
    <w:rsid w:val="00AA6E83"/>
    <w:rsid w:val="00B17B0C"/>
    <w:rsid w:val="00B52826"/>
    <w:rsid w:val="00B52E34"/>
    <w:rsid w:val="00B55B51"/>
    <w:rsid w:val="00B95349"/>
    <w:rsid w:val="00BB720F"/>
    <w:rsid w:val="00BD4954"/>
    <w:rsid w:val="00BF1E2F"/>
    <w:rsid w:val="00C647AF"/>
    <w:rsid w:val="00C70678"/>
    <w:rsid w:val="00CA22BB"/>
    <w:rsid w:val="00CC23E6"/>
    <w:rsid w:val="00CF1EE4"/>
    <w:rsid w:val="00CF4F35"/>
    <w:rsid w:val="00D55C80"/>
    <w:rsid w:val="00DC2F90"/>
    <w:rsid w:val="00E43E85"/>
    <w:rsid w:val="00E72060"/>
    <w:rsid w:val="00E92348"/>
    <w:rsid w:val="00ED2FCB"/>
    <w:rsid w:val="00EE2CAA"/>
    <w:rsid w:val="00EF6B47"/>
    <w:rsid w:val="00F744E7"/>
    <w:rsid w:val="00F836E8"/>
    <w:rsid w:val="00F8610F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F5E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C07C-DD46-46AE-895C-F77D189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39</cp:revision>
  <cp:lastPrinted>2019-10-14T09:43:00Z</cp:lastPrinted>
  <dcterms:created xsi:type="dcterms:W3CDTF">2019-03-14T22:40:00Z</dcterms:created>
  <dcterms:modified xsi:type="dcterms:W3CDTF">2020-07-17T09:02:00Z</dcterms:modified>
</cp:coreProperties>
</file>